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F84" w:rsidRDefault="004E7F84">
      <w:pPr>
        <w:widowControl w:val="0"/>
        <w:spacing w:before="240" w:line="360" w:lineRule="auto"/>
        <w:jc w:val="center"/>
      </w:pPr>
    </w:p>
    <w:p w:rsidR="002F71FB" w:rsidRDefault="002F71FB" w:rsidP="002F71FB">
      <w:pPr>
        <w:spacing w:line="288" w:lineRule="auto"/>
        <w:jc w:val="right"/>
        <w:rPr>
          <w:bCs/>
        </w:rPr>
      </w:pPr>
      <w:r>
        <w:rPr>
          <w:bCs/>
        </w:rPr>
        <w:t>Č.</w:t>
      </w:r>
      <w:r w:rsidR="006747EA">
        <w:rPr>
          <w:bCs/>
        </w:rPr>
        <w:t xml:space="preserve"> </w:t>
      </w:r>
      <w:r>
        <w:rPr>
          <w:bCs/>
        </w:rPr>
        <w:t>j.: TACR/</w:t>
      </w:r>
      <w:r w:rsidR="004611B7">
        <w:rPr>
          <w:bCs/>
        </w:rPr>
        <w:t>4872/</w:t>
      </w:r>
      <w:r>
        <w:rPr>
          <w:bCs/>
        </w:rPr>
        <w:t>2014</w:t>
      </w:r>
    </w:p>
    <w:p w:rsidR="004E7F84" w:rsidRDefault="008F31C1">
      <w:pPr>
        <w:widowControl w:val="0"/>
        <w:spacing w:before="240" w:line="360" w:lineRule="auto"/>
        <w:jc w:val="center"/>
      </w:pPr>
      <w:r>
        <w:rPr>
          <w:b/>
        </w:rPr>
        <w:t xml:space="preserve">Čestné prohlášení </w:t>
      </w:r>
      <w:r w:rsidR="004611B7">
        <w:rPr>
          <w:b/>
        </w:rPr>
        <w:t>statutárního orgánu</w:t>
      </w:r>
    </w:p>
    <w:p w:rsidR="004E7F84" w:rsidRDefault="008F31C1">
      <w:pPr>
        <w:widowControl w:val="0"/>
        <w:spacing w:before="240" w:line="360" w:lineRule="auto"/>
        <w:jc w:val="center"/>
      </w:pPr>
      <w:r>
        <w:rPr>
          <w:b/>
        </w:rPr>
        <w:t xml:space="preserve">pro 1. veřejnou soutěž ve výzkumu a vývoji programu </w:t>
      </w:r>
      <w:r w:rsidR="002F71FB">
        <w:rPr>
          <w:b/>
        </w:rPr>
        <w:t>DELTA</w:t>
      </w:r>
    </w:p>
    <w:p w:rsidR="004E7F84" w:rsidRDefault="008F31C1">
      <w:pPr>
        <w:widowControl w:val="0"/>
        <w:spacing w:line="360" w:lineRule="auto"/>
      </w:pPr>
      <w:r>
        <w:rPr>
          <w:b/>
        </w:rPr>
        <w:t xml:space="preserve"> </w:t>
      </w:r>
    </w:p>
    <w:p w:rsidR="004E7F84" w:rsidRDefault="008F31C1">
      <w:pPr>
        <w:widowControl w:val="0"/>
        <w:spacing w:line="360" w:lineRule="auto"/>
      </w:pPr>
      <w:r>
        <w:rPr>
          <w:b/>
        </w:rPr>
        <w:t xml:space="preserve">I.      </w:t>
      </w:r>
      <w:r>
        <w:rPr>
          <w:b/>
        </w:rPr>
        <w:tab/>
        <w:t>Uchazeč/další účastník projektu</w:t>
      </w:r>
    </w:p>
    <w:p w:rsidR="004E7F84" w:rsidRDefault="008F31C1">
      <w:pPr>
        <w:widowControl w:val="0"/>
        <w:spacing w:line="360" w:lineRule="auto"/>
      </w:pPr>
      <w:r>
        <w:t>Název:</w:t>
      </w:r>
    </w:p>
    <w:p w:rsidR="004E7F84" w:rsidRDefault="008F31C1">
      <w:pPr>
        <w:widowControl w:val="0"/>
        <w:spacing w:line="360" w:lineRule="auto"/>
      </w:pPr>
      <w:r>
        <w:t>Sídlo:</w:t>
      </w:r>
    </w:p>
    <w:p w:rsidR="004E7F84" w:rsidRDefault="008F31C1">
      <w:pPr>
        <w:widowControl w:val="0"/>
        <w:spacing w:line="360" w:lineRule="auto"/>
      </w:pPr>
      <w:r>
        <w:t>IČ:</w:t>
      </w:r>
    </w:p>
    <w:p w:rsidR="004E7F84" w:rsidRDefault="008F31C1">
      <w:pPr>
        <w:widowControl w:val="0"/>
        <w:spacing w:line="360" w:lineRule="auto"/>
      </w:pPr>
      <w:r>
        <w:t>Právní forma:</w:t>
      </w:r>
    </w:p>
    <w:p w:rsidR="004E7F84" w:rsidRDefault="008F31C1">
      <w:pPr>
        <w:widowControl w:val="0"/>
        <w:spacing w:line="360" w:lineRule="auto"/>
      </w:pPr>
      <w:r>
        <w:t>zapsán v obchodním rejstříku vedeném u ..........................................v oddílu ..................., vložka..............................</w:t>
      </w:r>
      <w:r w:rsidR="002F71FB" w:rsidRPr="002F71FB">
        <w:rPr>
          <w:rStyle w:val="Znakapoznpodarou"/>
        </w:rPr>
        <w:t>[</w:t>
      </w:r>
      <w:r w:rsidR="002F71FB">
        <w:rPr>
          <w:rStyle w:val="Znakapoznpodarou"/>
        </w:rPr>
        <w:footnoteReference w:id="1"/>
      </w:r>
      <w:r w:rsidR="002F71FB" w:rsidRPr="002F71FB">
        <w:rPr>
          <w:rStyle w:val="Znakapoznpodarou"/>
        </w:rPr>
        <w:t>]</w:t>
      </w:r>
    </w:p>
    <w:p w:rsidR="004E7F84" w:rsidRDefault="008F31C1">
      <w:pPr>
        <w:widowControl w:val="0"/>
        <w:spacing w:line="360" w:lineRule="auto"/>
      </w:pPr>
      <w:r>
        <w:t xml:space="preserve"> </w:t>
      </w:r>
    </w:p>
    <w:p w:rsidR="004E7F84" w:rsidRDefault="008F31C1">
      <w:pPr>
        <w:widowControl w:val="0"/>
        <w:spacing w:line="360" w:lineRule="auto"/>
      </w:pPr>
      <w:r>
        <w:t xml:space="preserve"> </w:t>
      </w:r>
    </w:p>
    <w:p w:rsidR="004E7F84" w:rsidRDefault="008F31C1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II.     </w:t>
      </w:r>
      <w:r>
        <w:rPr>
          <w:b/>
        </w:rPr>
        <w:tab/>
        <w:t>Čestné prohlášení</w:t>
      </w:r>
    </w:p>
    <w:p w:rsidR="00C10DCD" w:rsidRDefault="00C10DCD">
      <w:pPr>
        <w:widowControl w:val="0"/>
        <w:spacing w:line="360" w:lineRule="auto"/>
        <w:jc w:val="both"/>
      </w:pPr>
    </w:p>
    <w:p w:rsidR="004E7F84" w:rsidRDefault="008F31C1">
      <w:pPr>
        <w:widowControl w:val="0"/>
        <w:spacing w:after="120" w:line="360" w:lineRule="auto"/>
        <w:jc w:val="both"/>
      </w:pPr>
      <w:r>
        <w:t>Čestně prohlašuji, že:</w:t>
      </w:r>
    </w:p>
    <w:p w:rsidR="004E7F84" w:rsidRDefault="006747EA" w:rsidP="00C10DCD">
      <w:pPr>
        <w:pStyle w:val="Odstavecseseznamem"/>
        <w:widowControl w:val="0"/>
        <w:numPr>
          <w:ilvl w:val="0"/>
          <w:numId w:val="2"/>
        </w:numPr>
        <w:spacing w:line="360" w:lineRule="auto"/>
        <w:jc w:val="both"/>
      </w:pPr>
      <w:r>
        <w:t>Uc</w:t>
      </w:r>
      <w:r w:rsidR="008F31C1">
        <w:t>hazeč splňuje všechny podmínky pro typ organizace, kterou deklaruje být, tzn. buď podmínky pro jednu z kategorií podniku dle přílohy 1 Nařízení komise</w:t>
      </w:r>
      <w:r w:rsidR="002F71FB" w:rsidRPr="00C10DCD">
        <w:rPr>
          <w:vertAlign w:val="superscript"/>
        </w:rPr>
        <w:t>[</w:t>
      </w:r>
      <w:r w:rsidR="002F71FB" w:rsidRPr="002F71FB">
        <w:rPr>
          <w:rStyle w:val="Znakapoznpodarou"/>
        </w:rPr>
        <w:footnoteReference w:id="2"/>
      </w:r>
      <w:r w:rsidR="002F71FB" w:rsidRPr="00C10DCD">
        <w:rPr>
          <w:vertAlign w:val="superscript"/>
        </w:rPr>
        <w:t>]</w:t>
      </w:r>
      <w:r w:rsidR="008F31C1">
        <w:t>, v případě že se do programu hlásí jako podnik, nebo splňuje podmínky uvedené v definici výzkumné organizace Rámce Společenství pro státní podporu výzkumu, vývoje a inovací, a to v případě že se do programu hlásí jako výzkumná organizace.</w:t>
      </w:r>
    </w:p>
    <w:p w:rsidR="00C10DCD" w:rsidRDefault="00C10DCD" w:rsidP="00C10DCD">
      <w:pPr>
        <w:pStyle w:val="Odstavecseseznamem"/>
        <w:widowControl w:val="0"/>
        <w:spacing w:line="360" w:lineRule="auto"/>
        <w:ind w:left="780"/>
        <w:jc w:val="both"/>
      </w:pPr>
    </w:p>
    <w:p w:rsidR="004E7F84" w:rsidRDefault="008F31C1" w:rsidP="00C10DCD">
      <w:pPr>
        <w:widowControl w:val="0"/>
        <w:spacing w:after="120" w:line="360" w:lineRule="auto"/>
        <w:ind w:left="709" w:hanging="283"/>
        <w:jc w:val="both"/>
      </w:pPr>
      <w:r>
        <w:t>2.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</w:r>
      <w:r w:rsidR="006747EA">
        <w:t xml:space="preserve">V </w:t>
      </w:r>
      <w:r>
        <w:t>souladu s ustanovením § 18 odst. 2 zákona č. 130/2002 Sb. o podpoře výzkumu, experimentálního vývoje a inovací z veřejných prostředků a o změně některých souvisejících zákonů (zákon o podpoře výzkumu a vývoje) ve znění pozdějších předpisů a článkem 1 odst. 6 písm. a) a c) Nařízení Komise:</w:t>
      </w:r>
    </w:p>
    <w:p w:rsidR="004E7F84" w:rsidRDefault="008F31C1" w:rsidP="00C10DCD">
      <w:pPr>
        <w:pStyle w:val="Odstavecseseznamem"/>
        <w:widowControl w:val="0"/>
        <w:numPr>
          <w:ilvl w:val="0"/>
          <w:numId w:val="1"/>
        </w:numPr>
        <w:spacing w:line="360" w:lineRule="auto"/>
        <w:jc w:val="both"/>
      </w:pPr>
      <w:r>
        <w:lastRenderedPageBreak/>
        <w:t>uchazeč má příslušné oprávnění k činnosti, je-li vyžadováno zvláštním právním předpisem,</w:t>
      </w:r>
    </w:p>
    <w:p w:rsidR="004E7F84" w:rsidRDefault="008F31C1" w:rsidP="00C10DCD">
      <w:pPr>
        <w:pStyle w:val="Odstavecseseznamem"/>
        <w:widowControl w:val="0"/>
        <w:numPr>
          <w:ilvl w:val="0"/>
          <w:numId w:val="1"/>
        </w:numPr>
        <w:spacing w:line="360" w:lineRule="auto"/>
        <w:jc w:val="both"/>
      </w:pPr>
      <w:r>
        <w:t>uchazeč nepodal návrh na povolení vyrovnání, nebo vůči němu nebyl podán návrh na prohlášení konkursu na jeho majetek, anebo nebyl zamítnut návrh na prohlášení konkursu pro nedostatek jeho majetku,</w:t>
      </w:r>
    </w:p>
    <w:p w:rsidR="004E7F84" w:rsidRDefault="008F31C1" w:rsidP="00C10DCD">
      <w:pPr>
        <w:pStyle w:val="Odstavecseseznamem"/>
        <w:widowControl w:val="0"/>
        <w:numPr>
          <w:ilvl w:val="0"/>
          <w:numId w:val="1"/>
        </w:numPr>
        <w:spacing w:line="360" w:lineRule="auto"/>
        <w:jc w:val="both"/>
      </w:pPr>
      <w:r>
        <w:t>uchazeč není v likvidaci a jeho úpadek nebo hrozící úpadek není řešen v insolvenčním řízení,</w:t>
      </w:r>
    </w:p>
    <w:p w:rsidR="004E7F84" w:rsidRDefault="008F31C1" w:rsidP="00C10DCD">
      <w:pPr>
        <w:pStyle w:val="Odstavecseseznamem"/>
        <w:widowControl w:val="0"/>
        <w:numPr>
          <w:ilvl w:val="0"/>
          <w:numId w:val="1"/>
        </w:numPr>
        <w:spacing w:line="360" w:lineRule="auto"/>
        <w:jc w:val="both"/>
      </w:pPr>
      <w:r>
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</w:r>
    </w:p>
    <w:p w:rsidR="004E7F84" w:rsidRDefault="008F31C1" w:rsidP="00C10DCD">
      <w:pPr>
        <w:pStyle w:val="Odstavecseseznamem"/>
        <w:widowControl w:val="0"/>
        <w:numPr>
          <w:ilvl w:val="0"/>
          <w:numId w:val="1"/>
        </w:numPr>
        <w:spacing w:line="360" w:lineRule="auto"/>
        <w:jc w:val="both"/>
      </w:pPr>
      <w:r>
        <w:t>žádný z členů statutárního orgánu nebyl v posledních třech letech disciplinárně potrestán za výkon odborné činnosti související s předmětem veřejné soutěže ve výzkumu, vývoji a inovacích,</w:t>
      </w:r>
    </w:p>
    <w:p w:rsidR="004E7F84" w:rsidRDefault="008F31C1" w:rsidP="00C10DCD">
      <w:pPr>
        <w:pStyle w:val="Odstavecseseznamem"/>
        <w:widowControl w:val="0"/>
        <w:numPr>
          <w:ilvl w:val="0"/>
          <w:numId w:val="1"/>
        </w:numPr>
        <w:spacing w:line="360" w:lineRule="auto"/>
        <w:jc w:val="both"/>
      </w:pPr>
      <w:r>
        <w:t>žádný z členů statutárního orgánu není v pracovněprávním ani jiném obdobném poměru k poskytovateli,</w:t>
      </w:r>
    </w:p>
    <w:p w:rsidR="004E7F84" w:rsidRDefault="008F31C1" w:rsidP="00C10DCD">
      <w:pPr>
        <w:pStyle w:val="Odstavecseseznamem"/>
        <w:widowControl w:val="0"/>
        <w:numPr>
          <w:ilvl w:val="0"/>
          <w:numId w:val="1"/>
        </w:numPr>
        <w:spacing w:line="360" w:lineRule="auto"/>
        <w:jc w:val="both"/>
      </w:pPr>
      <w:r>
        <w:t>na uchazeče nebyl vydán inkasní příkaz po předcházejícím rozhodnutí Komise prohlašujícím, že podpora je protiprávní a neslučitelná se společným trhem,</w:t>
      </w:r>
    </w:p>
    <w:p w:rsidR="004E7F84" w:rsidRDefault="008F31C1" w:rsidP="00C10DCD">
      <w:pPr>
        <w:pStyle w:val="Odstavecseseznamem"/>
        <w:widowControl w:val="0"/>
        <w:numPr>
          <w:ilvl w:val="0"/>
          <w:numId w:val="1"/>
        </w:numPr>
        <w:spacing w:line="360" w:lineRule="auto"/>
        <w:jc w:val="both"/>
      </w:pPr>
      <w:r>
        <w:t>uchazeč není podnikem v obtížích.</w:t>
      </w:r>
    </w:p>
    <w:p w:rsidR="004E7F84" w:rsidRDefault="008F31C1">
      <w:pPr>
        <w:widowControl w:val="0"/>
        <w:spacing w:line="360" w:lineRule="auto"/>
        <w:jc w:val="both"/>
      </w:pPr>
      <w:r>
        <w:t xml:space="preserve"> </w:t>
      </w:r>
    </w:p>
    <w:p w:rsidR="004E7F84" w:rsidRDefault="006747EA" w:rsidP="00EF6631">
      <w:pPr>
        <w:pStyle w:val="Odstavecseseznamem"/>
        <w:widowControl w:val="0"/>
        <w:numPr>
          <w:ilvl w:val="0"/>
          <w:numId w:val="5"/>
        </w:numPr>
        <w:spacing w:line="360" w:lineRule="auto"/>
        <w:ind w:left="782"/>
        <w:jc w:val="both"/>
      </w:pPr>
      <w:r>
        <w:t xml:space="preserve">V </w:t>
      </w:r>
      <w:r w:rsidR="008F31C1">
        <w:t>rámci prokázání způsobilosti jsou předloženy výpisy z rejstříku trestů, popř. požadované údaje k vyžádání výpisů poskytovatelem, uchazeče i všech členů jeho statutárního orgánu a všech členů statutárních orgánů těch jeho členů statutárního orgánu, kteří jsou právnickou osobou, a to ke dni prokázání způsobilosti.</w:t>
      </w:r>
    </w:p>
    <w:p w:rsidR="003E3E01" w:rsidRDefault="003E3E01" w:rsidP="00EF6631">
      <w:pPr>
        <w:pStyle w:val="Odstavecseseznamem"/>
        <w:widowControl w:val="0"/>
        <w:spacing w:line="360" w:lineRule="auto"/>
        <w:ind w:left="782"/>
        <w:jc w:val="both"/>
      </w:pPr>
    </w:p>
    <w:p w:rsidR="004E7F84" w:rsidRDefault="006747EA" w:rsidP="00EF6631">
      <w:pPr>
        <w:pStyle w:val="Odstavecseseznamem"/>
        <w:widowControl w:val="0"/>
        <w:numPr>
          <w:ilvl w:val="0"/>
          <w:numId w:val="5"/>
        </w:numPr>
        <w:spacing w:line="360" w:lineRule="auto"/>
        <w:ind w:left="782"/>
        <w:jc w:val="both"/>
      </w:pPr>
      <w:r>
        <w:t>Uc</w:t>
      </w:r>
      <w:r w:rsidR="008F31C1">
        <w:t>hazeč prohlašuje, že všechny údaje uvedené v návrhu projektu a dokumenty předané poskytovateli spolu s návrhem projektu jsou v souladu se skutečným stavem ke dni podání návrhu projektu.</w:t>
      </w:r>
    </w:p>
    <w:p w:rsidR="004E7F84" w:rsidRDefault="008F31C1">
      <w:pPr>
        <w:widowControl w:val="0"/>
        <w:spacing w:line="360" w:lineRule="auto"/>
        <w:ind w:left="405" w:hanging="434"/>
        <w:jc w:val="both"/>
      </w:pPr>
      <w:r>
        <w:t xml:space="preserve"> </w:t>
      </w:r>
    </w:p>
    <w:p w:rsidR="004E7F84" w:rsidRDefault="008F31C1">
      <w:pPr>
        <w:widowControl w:val="0"/>
      </w:pPr>
      <w:r>
        <w:t xml:space="preserve"> </w:t>
      </w:r>
      <w:bookmarkStart w:id="0" w:name="_GoBack"/>
      <w:bookmarkEnd w:id="0"/>
      <w:r>
        <w:t xml:space="preserve"> </w:t>
      </w:r>
    </w:p>
    <w:p w:rsidR="004E7F84" w:rsidRDefault="004E7F84">
      <w:pPr>
        <w:widowControl w:val="0"/>
      </w:pPr>
    </w:p>
    <w:p w:rsidR="004E7F84" w:rsidRDefault="004E7F84">
      <w:pPr>
        <w:widowControl w:val="0"/>
      </w:pPr>
    </w:p>
    <w:sectPr w:rsidR="004E7F84">
      <w:headerReference w:type="defaul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F4" w:rsidRDefault="009324F4" w:rsidP="002F71FB">
      <w:pPr>
        <w:spacing w:line="240" w:lineRule="auto"/>
      </w:pPr>
      <w:r>
        <w:separator/>
      </w:r>
    </w:p>
  </w:endnote>
  <w:endnote w:type="continuationSeparator" w:id="0">
    <w:p w:rsidR="009324F4" w:rsidRDefault="009324F4" w:rsidP="002F7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F4" w:rsidRDefault="009324F4" w:rsidP="002F71FB">
      <w:pPr>
        <w:spacing w:line="240" w:lineRule="auto"/>
      </w:pPr>
      <w:r>
        <w:separator/>
      </w:r>
    </w:p>
  </w:footnote>
  <w:footnote w:type="continuationSeparator" w:id="0">
    <w:p w:rsidR="009324F4" w:rsidRDefault="009324F4" w:rsidP="002F71FB">
      <w:pPr>
        <w:spacing w:line="240" w:lineRule="auto"/>
      </w:pPr>
      <w:r>
        <w:continuationSeparator/>
      </w:r>
    </w:p>
  </w:footnote>
  <w:footnote w:id="1">
    <w:p w:rsidR="002F71FB" w:rsidRDefault="002F71FB">
      <w:pPr>
        <w:pStyle w:val="Textpoznpodarou"/>
      </w:pPr>
      <w:r w:rsidRPr="00C10DCD">
        <w:rPr>
          <w:rStyle w:val="Znakapoznpodarou"/>
          <w:rFonts w:eastAsia="Arial"/>
        </w:rPr>
        <w:t>[</w:t>
      </w:r>
      <w:r w:rsidRPr="002F71FB">
        <w:rPr>
          <w:rStyle w:val="Znakapoznpodarou"/>
          <w:rFonts w:ascii="Arial" w:eastAsia="Arial" w:hAnsi="Arial" w:cs="Arial"/>
          <w:color w:val="000000"/>
          <w:sz w:val="22"/>
          <w:szCs w:val="22"/>
          <w:lang w:eastAsia="zh-CN"/>
        </w:rPr>
        <w:footnoteRef/>
      </w:r>
      <w:r w:rsidRPr="002F71FB">
        <w:rPr>
          <w:rStyle w:val="Znakapoznpodarou"/>
          <w:rFonts w:eastAsia="Arial"/>
        </w:rPr>
        <w:t>]</w:t>
      </w:r>
      <w:r w:rsidRPr="002F71FB">
        <w:rPr>
          <w:rStyle w:val="Znakapoznpodarou"/>
          <w:rFonts w:ascii="Arial" w:eastAsia="Arial" w:hAnsi="Arial" w:cs="Arial"/>
          <w:color w:val="000000"/>
          <w:sz w:val="22"/>
          <w:szCs w:val="22"/>
          <w:lang w:eastAsia="zh-CN"/>
        </w:rPr>
        <w:t xml:space="preserve"> </w:t>
      </w:r>
      <w:r w:rsidRPr="002F71FB">
        <w:rPr>
          <w:rFonts w:ascii="Arial" w:hAnsi="Arial" w:cs="Arial"/>
        </w:rPr>
        <w:t>Pouze u uchazečů zapsaných v Obchodním rejstříku.</w:t>
      </w:r>
    </w:p>
  </w:footnote>
  <w:footnote w:id="2">
    <w:p w:rsidR="002F71FB" w:rsidRDefault="002F71FB">
      <w:pPr>
        <w:pStyle w:val="Textpoznpodarou"/>
      </w:pPr>
      <w:r w:rsidRPr="00C10DCD">
        <w:rPr>
          <w:rStyle w:val="Znakapoznpodarou"/>
          <w:rFonts w:eastAsia="Arial"/>
        </w:rPr>
        <w:t>[</w:t>
      </w:r>
      <w:r w:rsidRPr="00C10DCD">
        <w:rPr>
          <w:rStyle w:val="Znakapoznpodarou"/>
          <w:rFonts w:eastAsia="Arial"/>
        </w:rPr>
        <w:footnoteRef/>
      </w:r>
      <w:r w:rsidRPr="00C10DCD">
        <w:rPr>
          <w:rStyle w:val="Znakapoznpodarou"/>
          <w:rFonts w:eastAsia="Arial"/>
        </w:rPr>
        <w:t xml:space="preserve">] </w:t>
      </w:r>
      <w:r w:rsidRPr="002F71FB">
        <w:rPr>
          <w:rFonts w:ascii="Arial" w:hAnsi="Arial" w:cs="Arial"/>
        </w:rPr>
        <w:t>Nařízení Komise 800/2008 ze dne 6. srpna 2008, kterým se v souladu s články 87 a 88 Smlouvy o ES prohlašují určité kategorie za slučitelné se společným trhem (obecné nařízení o blokových výjimkách) (dále jen „Nařízení komise“).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FB" w:rsidRDefault="002F71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169A669" wp14:editId="3D21D7C5">
          <wp:simplePos x="0" y="0"/>
          <wp:positionH relativeFrom="margin">
            <wp:posOffset>-285750</wp:posOffset>
          </wp:positionH>
          <wp:positionV relativeFrom="margin">
            <wp:posOffset>-353695</wp:posOffset>
          </wp:positionV>
          <wp:extent cx="6299200" cy="701675"/>
          <wp:effectExtent l="0" t="0" r="635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G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6AC"/>
    <w:multiLevelType w:val="hybridMultilevel"/>
    <w:tmpl w:val="F81CCD98"/>
    <w:lvl w:ilvl="0" w:tplc="4202A3C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A3314D0"/>
    <w:multiLevelType w:val="hybridMultilevel"/>
    <w:tmpl w:val="35E2A3DE"/>
    <w:lvl w:ilvl="0" w:tplc="04050017">
      <w:start w:val="1"/>
      <w:numFmt w:val="lowerLetter"/>
      <w:lvlText w:val="%1)"/>
      <w:lvlJc w:val="left"/>
      <w:pPr>
        <w:ind w:left="1720" w:hanging="360"/>
      </w:p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>
    <w:nsid w:val="6FBE2CDE"/>
    <w:multiLevelType w:val="hybridMultilevel"/>
    <w:tmpl w:val="51FEFB8C"/>
    <w:lvl w:ilvl="0" w:tplc="E47625C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71650E5"/>
    <w:multiLevelType w:val="hybridMultilevel"/>
    <w:tmpl w:val="A25066EA"/>
    <w:lvl w:ilvl="0" w:tplc="AAF861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DDE1354"/>
    <w:multiLevelType w:val="hybridMultilevel"/>
    <w:tmpl w:val="57EC7F42"/>
    <w:lvl w:ilvl="0" w:tplc="E78A243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7F84"/>
    <w:rsid w:val="0006314B"/>
    <w:rsid w:val="002E6B09"/>
    <w:rsid w:val="002F71FB"/>
    <w:rsid w:val="003E37A6"/>
    <w:rsid w:val="003E3E01"/>
    <w:rsid w:val="004611B7"/>
    <w:rsid w:val="004E7F84"/>
    <w:rsid w:val="006747EA"/>
    <w:rsid w:val="00717A2E"/>
    <w:rsid w:val="00874A61"/>
    <w:rsid w:val="008F31C1"/>
    <w:rsid w:val="009324F4"/>
    <w:rsid w:val="00C10DCD"/>
    <w:rsid w:val="00EF6631"/>
    <w:rsid w:val="00F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1FB"/>
    <w:rPr>
      <w:rFonts w:ascii="Tahoma" w:eastAsia="Arial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71F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1FB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2F71F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1FB"/>
    <w:rPr>
      <w:rFonts w:ascii="Arial" w:eastAsia="Arial" w:hAnsi="Arial" w:cs="Arial"/>
      <w:color w:val="000000"/>
    </w:rPr>
  </w:style>
  <w:style w:type="paragraph" w:styleId="Textpoznpodarou">
    <w:name w:val="footnote text"/>
    <w:basedOn w:val="Normln"/>
    <w:link w:val="TextpoznpodarouChar"/>
    <w:rsid w:val="002F71FB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F71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71FB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71FB"/>
    <w:rPr>
      <w:rFonts w:ascii="Arial" w:eastAsia="Arial" w:hAnsi="Arial" w:cs="Arial"/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F71FB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2F71F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10DC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B09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1FB"/>
    <w:rPr>
      <w:rFonts w:ascii="Tahoma" w:eastAsia="Arial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71F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1FB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2F71F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1FB"/>
    <w:rPr>
      <w:rFonts w:ascii="Arial" w:eastAsia="Arial" w:hAnsi="Arial" w:cs="Arial"/>
      <w:color w:val="000000"/>
    </w:rPr>
  </w:style>
  <w:style w:type="paragraph" w:styleId="Textpoznpodarou">
    <w:name w:val="footnote text"/>
    <w:basedOn w:val="Normln"/>
    <w:link w:val="TextpoznpodarouChar"/>
    <w:rsid w:val="002F71FB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F71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71FB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71FB"/>
    <w:rPr>
      <w:rFonts w:ascii="Arial" w:eastAsia="Arial" w:hAnsi="Arial" w:cs="Arial"/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F71FB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2F71F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10DC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B09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D1BA-E3DA-4512-B95D-90B04CB6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Nové čestné prohlášení.docx</vt:lpstr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Nové čestné prohlášení.docx</dc:title>
  <dc:creator>Marie Leflerová</dc:creator>
  <cp:lastModifiedBy>market</cp:lastModifiedBy>
  <cp:revision>4</cp:revision>
  <dcterms:created xsi:type="dcterms:W3CDTF">2014-06-09T13:18:00Z</dcterms:created>
  <dcterms:modified xsi:type="dcterms:W3CDTF">2014-06-09T14:07:00Z</dcterms:modified>
</cp:coreProperties>
</file>