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238" w:rsidRDefault="00FE45EF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A52238" w:rsidRDefault="00FE45EF">
      <w:pPr>
        <w:spacing w:line="288" w:lineRule="auto"/>
        <w:jc w:val="right"/>
      </w:pPr>
      <w:bookmarkStart w:id="0" w:name="_gjdgxs" w:colFirst="0" w:colLast="0"/>
      <w:bookmarkEnd w:id="0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 xml:space="preserve">. No.: </w:t>
      </w:r>
      <w:proofErr w:type="spellStart"/>
      <w:r>
        <w:rPr>
          <w:rFonts w:ascii="Cambria" w:eastAsia="Cambria" w:hAnsi="Cambria" w:cs="Cambria"/>
        </w:rPr>
        <w:t>TACR</w:t>
      </w:r>
      <w:proofErr w:type="spellEnd"/>
      <w:r>
        <w:rPr>
          <w:rFonts w:ascii="Cambria" w:eastAsia="Cambria" w:hAnsi="Cambria" w:cs="Cambria"/>
        </w:rPr>
        <w:t>/15-14/2017</w:t>
      </w:r>
    </w:p>
    <w:p w:rsidR="00A52238" w:rsidRDefault="00FE45EF">
      <w:pPr>
        <w:spacing w:before="240" w:line="360" w:lineRule="auto"/>
        <w:jc w:val="center"/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pro 3. veřejnou soutěž programu na podporu aplikovaného výzkumu </w:t>
      </w:r>
      <w:r>
        <w:rPr>
          <w:rFonts w:ascii="Cambria" w:eastAsia="Cambria" w:hAnsi="Cambria" w:cs="Cambria"/>
          <w:b/>
          <w:sz w:val="24"/>
          <w:szCs w:val="24"/>
        </w:rPr>
        <w:br/>
        <w:t>a experimentálního vývoje</w:t>
      </w: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EPSILON/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3rd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br/>
        <w:t xml:space="preserve">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EPSILON</w:t>
      </w:r>
    </w:p>
    <w:p w:rsidR="00A52238" w:rsidRDefault="00FE45EF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</w:rPr>
        <w:t>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A52238" w:rsidRDefault="00FE45EF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A52238" w:rsidRDefault="00FE45EF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A52238" w:rsidRDefault="00FE45EF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A52238" w:rsidRDefault="00FE45EF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A52238" w:rsidRDefault="00FE45EF">
      <w:pPr>
        <w:spacing w:line="360" w:lineRule="auto"/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A52238" w:rsidRDefault="00FE45EF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</w:t>
      </w:r>
      <w:r>
        <w:rPr>
          <w:rFonts w:ascii="Cambria" w:eastAsia="Cambria" w:hAnsi="Cambria" w:cs="Cambria"/>
        </w:rPr>
        <w:t>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A52238" w:rsidRDefault="00A52238">
      <w:pPr>
        <w:spacing w:line="360" w:lineRule="auto"/>
      </w:pPr>
    </w:p>
    <w:p w:rsidR="00A52238" w:rsidRDefault="00A52238">
      <w:pPr>
        <w:spacing w:line="360" w:lineRule="auto"/>
      </w:pPr>
    </w:p>
    <w:p w:rsidR="00A52238" w:rsidRDefault="00A52238">
      <w:pPr>
        <w:spacing w:line="360" w:lineRule="auto"/>
      </w:pPr>
    </w:p>
    <w:p w:rsidR="00A52238" w:rsidRDefault="00A52238">
      <w:pPr>
        <w:spacing w:line="360" w:lineRule="auto"/>
      </w:pPr>
    </w:p>
    <w:p w:rsidR="00A52238" w:rsidRDefault="00FE45EF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A52238" w:rsidRDefault="00FE45EF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315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A52238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ind w:left="389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</w:t>
            </w:r>
            <w:r>
              <w:rPr>
                <w:rFonts w:ascii="Cambria" w:eastAsia="Cambria" w:hAnsi="Cambria" w:cs="Cambria"/>
              </w:rPr>
              <w:t>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ind w:left="425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 w:rsidR="00480594"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52238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2 zákon</w:t>
            </w:r>
            <w:r>
              <w:rPr>
                <w:rFonts w:ascii="Cambria" w:eastAsia="Cambria" w:hAnsi="Cambria" w:cs="Cambria"/>
              </w:rPr>
              <w:t xml:space="preserve">a č. 130/2002 Sb. o podpoře výzkumu, experimentálního vývoje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a inovací z veřejných prostředků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a o změně některých souvisejících zákonů (zákon o podpoře výzkumu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2"/>
              </w:numPr>
              <w:spacing w:after="0"/>
              <w:ind w:left="462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</w:t>
            </w:r>
            <w:r>
              <w:rPr>
                <w:rFonts w:ascii="Cambria" w:eastAsia="Cambria" w:hAnsi="Cambria" w:cs="Cambria"/>
              </w:rPr>
              <w:t>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A52238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příslušné oprávnění k činnosti ve smyslu § 18 odst. 2 písm. b) zákona č. 130/2002 Sb. o podpoře výzkumu, experimentálního vývoje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lastRenderedPageBreak/>
              <w:t xml:space="preserve">a inovací z veřejných prostředků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</w:rPr>
              <w:t xml:space="preserve">o změně některých souvisejících zákonů (zákon o podpoře výzkumu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a vývoje) ve znění pozdějších předpisů,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"/>
              </w:numPr>
              <w:spacing w:after="0"/>
              <w:ind w:left="462" w:hanging="425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 w:rsidR="00480594"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</w:t>
            </w:r>
            <w:r>
              <w:rPr>
                <w:rFonts w:ascii="Cambria" w:eastAsia="Cambria" w:hAnsi="Cambria" w:cs="Cambria"/>
              </w:rPr>
              <w:t>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3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2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2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1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1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</w:t>
            </w:r>
            <w:r>
              <w:rPr>
                <w:rFonts w:ascii="Cambria" w:eastAsia="Cambria" w:hAnsi="Cambria" w:cs="Cambria"/>
              </w:rPr>
              <w:t>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0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0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 z členů statutárního orgánu nebyl pravomocně odsouzen pro trestný čin, je</w:t>
            </w:r>
            <w:r>
              <w:rPr>
                <w:rFonts w:ascii="Cambria" w:eastAsia="Cambria" w:hAnsi="Cambria" w:cs="Cambria"/>
              </w:rPr>
              <w:t>hož skutková podstata souvisí s předmětem podnikání uchazeče, nebo pro trestný čin hospodářský nebo trestný čin proti majetku, nebo se na něj tak podle zákona hledí, a je-li právnickou osobou, nebyl pravomocně odsouzen pro trestný čin, jehož skutková podst</w:t>
            </w:r>
            <w:r>
              <w:rPr>
                <w:rFonts w:ascii="Cambria" w:eastAsia="Cambria" w:hAnsi="Cambria" w:cs="Cambria"/>
              </w:rPr>
              <w:t xml:space="preserve">ata souvisí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lastRenderedPageBreak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9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 w:rsidR="00480594"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7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 z členů statutárního orgánu nebyl v posledních třech letech disciplinárně potrestán za výkon odborné činn</w:t>
            </w:r>
            <w:r>
              <w:rPr>
                <w:rFonts w:ascii="Cambria" w:eastAsia="Cambria" w:hAnsi="Cambria" w:cs="Cambria"/>
              </w:rPr>
              <w:t xml:space="preserve">osti související s předmětem veřejné soutěže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6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</w:t>
            </w:r>
            <w:r>
              <w:rPr>
                <w:rFonts w:ascii="Cambria" w:eastAsia="Cambria" w:hAnsi="Cambria" w:cs="Cambria"/>
              </w:rPr>
              <w:t>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6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6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r w:rsidR="00480594"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</w:t>
            </w:r>
            <w:r>
              <w:rPr>
                <w:rFonts w:ascii="Cambria" w:eastAsia="Cambria" w:hAnsi="Cambria" w:cs="Cambria"/>
              </w:rPr>
              <w:t>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3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4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4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4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 rámc</w:t>
            </w:r>
            <w:r>
              <w:rPr>
                <w:rFonts w:ascii="Cambria" w:eastAsia="Cambria" w:hAnsi="Cambria" w:cs="Cambria"/>
              </w:rPr>
              <w:t xml:space="preserve">i prokázání způsobilosti jsou předloženy požadované údaje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</w:t>
            </w:r>
            <w:r>
              <w:rPr>
                <w:rFonts w:ascii="Cambria" w:eastAsia="Cambria" w:hAnsi="Cambria" w:cs="Cambria"/>
              </w:rPr>
              <w:t>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ind w:left="720"/>
              <w:contextualSpacing w:val="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480594"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 w:rsidR="00480594"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480594" w:rsidRDefault="00480594">
            <w:pPr>
              <w:ind w:left="720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2" w:name="_GoBack"/>
            <w:bookmarkEnd w:id="2"/>
          </w:p>
        </w:tc>
      </w:tr>
      <w:tr w:rsidR="00A52238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15"/>
              </w:numPr>
              <w:spacing w:after="0" w:line="240" w:lineRule="auto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2238" w:rsidRDefault="00FE45EF">
            <w:pPr>
              <w:numPr>
                <w:ilvl w:val="0"/>
                <w:numId w:val="8"/>
              </w:numPr>
              <w:spacing w:after="0" w:line="240" w:lineRule="auto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A52238" w:rsidRDefault="00A52238">
      <w:pPr>
        <w:tabs>
          <w:tab w:val="left" w:pos="5308"/>
        </w:tabs>
      </w:pPr>
    </w:p>
    <w:sectPr w:rsidR="00A52238">
      <w:headerReference w:type="default" r:id="rId8"/>
      <w:footerReference w:type="default" r:id="rId9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45EF">
      <w:pPr>
        <w:spacing w:after="0" w:line="240" w:lineRule="auto"/>
      </w:pPr>
      <w:r>
        <w:separator/>
      </w:r>
    </w:p>
  </w:endnote>
  <w:endnote w:type="continuationSeparator" w:id="0">
    <w:p w:rsidR="00000000" w:rsidRDefault="00FE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38" w:rsidRDefault="00FE45E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fldChar w:fldCharType="begin"/>
    </w:r>
    <w:r>
      <w:instrText>PAGE</w:instrText>
    </w:r>
    <w:r>
      <w:fldChar w:fldCharType="separate"/>
    </w:r>
    <w:r w:rsidR="00480594">
      <w:rPr>
        <w:noProof/>
      </w:rPr>
      <w:t>5</w:t>
    </w:r>
    <w:r>
      <w:fldChar w:fldCharType="end"/>
    </w:r>
    <w:r>
      <w:rPr>
        <w:rFonts w:ascii="Cambria" w:eastAsia="Cambria" w:hAnsi="Cambria" w:cs="Cambria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480594">
      <w:rPr>
        <w:noProof/>
      </w:rPr>
      <w:t>5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-819149</wp:posOffset>
          </wp:positionH>
          <wp:positionV relativeFrom="paragraph">
            <wp:posOffset>123825</wp:posOffset>
          </wp:positionV>
          <wp:extent cx="3997325" cy="836295"/>
          <wp:effectExtent l="0" t="0" r="0" b="0"/>
          <wp:wrapSquare wrapText="bothSides" distT="0" distB="0" distL="114300" distR="114300"/>
          <wp:docPr id="2" name="image04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32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2238" w:rsidRDefault="00A52238">
    <w:pPr>
      <w:tabs>
        <w:tab w:val="center" w:pos="4536"/>
        <w:tab w:val="right" w:pos="9072"/>
      </w:tabs>
      <w:spacing w:after="964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45EF">
      <w:pPr>
        <w:spacing w:after="0" w:line="240" w:lineRule="auto"/>
      </w:pPr>
      <w:r>
        <w:separator/>
      </w:r>
    </w:p>
  </w:footnote>
  <w:footnote w:type="continuationSeparator" w:id="0">
    <w:p w:rsidR="00000000" w:rsidRDefault="00FE45EF">
      <w:pPr>
        <w:spacing w:after="0" w:line="240" w:lineRule="auto"/>
      </w:pPr>
      <w:r>
        <w:continuationSeparator/>
      </w:r>
    </w:p>
  </w:footnote>
  <w:footnote w:id="1">
    <w:p w:rsidR="00A52238" w:rsidRDefault="00FE45E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A52238" w:rsidRDefault="00FE45E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</w:t>
      </w:r>
      <w:r>
        <w:rPr>
          <w:rFonts w:ascii="Cambria" w:eastAsia="Cambria" w:hAnsi="Cambria" w:cs="Cambria"/>
          <w:sz w:val="18"/>
          <w:szCs w:val="18"/>
        </w:rPr>
        <w:t>šují určité kategorie podpory za slučitelné s vnitřním trhem.</w:t>
      </w:r>
    </w:p>
  </w:footnote>
  <w:footnote w:id="3">
    <w:p w:rsidR="00A52238" w:rsidRDefault="00FE45E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17th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38" w:rsidRDefault="00FE45EF">
    <w:pPr>
      <w:tabs>
        <w:tab w:val="left" w:pos="2370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-720089</wp:posOffset>
          </wp:positionH>
          <wp:positionV relativeFrom="paragraph">
            <wp:posOffset>-453389</wp:posOffset>
          </wp:positionV>
          <wp:extent cx="1439545" cy="143954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4192270</wp:posOffset>
          </wp:positionH>
          <wp:positionV relativeFrom="paragraph">
            <wp:posOffset>2540</wp:posOffset>
          </wp:positionV>
          <wp:extent cx="2638425" cy="1009650"/>
          <wp:effectExtent l="0" t="0" r="0" b="0"/>
          <wp:wrapTopAndBottom distT="114300" distB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92D"/>
    <w:multiLevelType w:val="multilevel"/>
    <w:tmpl w:val="4E80F158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15297526"/>
    <w:multiLevelType w:val="multilevel"/>
    <w:tmpl w:val="ED8007B4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C1A3D10"/>
    <w:multiLevelType w:val="multilevel"/>
    <w:tmpl w:val="7C2E5744"/>
    <w:lvl w:ilvl="0">
      <w:start w:val="8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EEF692C"/>
    <w:multiLevelType w:val="multilevel"/>
    <w:tmpl w:val="1D6AC384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2FF86F6F"/>
    <w:multiLevelType w:val="multilevel"/>
    <w:tmpl w:val="97868A08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37F5D88"/>
    <w:multiLevelType w:val="multilevel"/>
    <w:tmpl w:val="D4AC4180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6">
    <w:nsid w:val="39AE0BA4"/>
    <w:multiLevelType w:val="multilevel"/>
    <w:tmpl w:val="930EEF4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3F3E6345"/>
    <w:multiLevelType w:val="multilevel"/>
    <w:tmpl w:val="4A0E7B4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3F642348"/>
    <w:multiLevelType w:val="multilevel"/>
    <w:tmpl w:val="84CAD8CA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>
    <w:nsid w:val="4D7412A9"/>
    <w:multiLevelType w:val="multilevel"/>
    <w:tmpl w:val="0B26FB1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5F9A6EE7"/>
    <w:multiLevelType w:val="multilevel"/>
    <w:tmpl w:val="B21EDBAC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19735C9"/>
    <w:multiLevelType w:val="multilevel"/>
    <w:tmpl w:val="4D1802E0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6A936886"/>
    <w:multiLevelType w:val="multilevel"/>
    <w:tmpl w:val="5EF43294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6CD14ECE"/>
    <w:multiLevelType w:val="multilevel"/>
    <w:tmpl w:val="193C8980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8B62AD5"/>
    <w:multiLevelType w:val="multilevel"/>
    <w:tmpl w:val="E01E8A0A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C313F4F"/>
    <w:multiLevelType w:val="multilevel"/>
    <w:tmpl w:val="EECCBD3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238"/>
    <w:rsid w:val="00480594"/>
    <w:rsid w:val="00A52238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2017-04-04T06:13:00Z</dcterms:created>
  <dcterms:modified xsi:type="dcterms:W3CDTF">2017-04-04T06:13:00Z</dcterms:modified>
</cp:coreProperties>
</file>