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before="0" w:lineRule="auto"/>
        <w:contextualSpacing w:val="0"/>
        <w:jc w:val="righ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Výsledky vyhodnocení splnění podmínek veřejné soutěže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6324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3700" y="378000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6324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before="0" w:lineRule="auto"/>
        <w:contextualSpacing w:val="0"/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b w:val="1"/>
          <w:sz w:val="36"/>
          <w:szCs w:val="36"/>
          <w:rtl w:val="0"/>
        </w:rPr>
        <w:t xml:space="preserve">. veřejná soutěž programu aplikovaného výzkumu a experimentálního vývoje </w:t>
      </w:r>
      <w:r w:rsidDel="00000000" w:rsidR="00000000" w:rsidRPr="00000000">
        <w:rPr>
          <w:b w:val="1"/>
          <w:sz w:val="36"/>
          <w:szCs w:val="36"/>
          <w:rtl w:val="0"/>
        </w:rPr>
        <w:t xml:space="preserve">EPSILON CHIST-ERA III Call 2017</w:t>
      </w:r>
    </w:p>
    <w:p w:rsidR="00000000" w:rsidDel="00000000" w:rsidP="00000000" w:rsidRDefault="00000000" w:rsidRPr="00000000" w14:paraId="00000002">
      <w:pPr>
        <w:spacing w:before="0" w:lineRule="auto"/>
        <w:contextualSpacing w:val="0"/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0" w:line="360" w:lineRule="auto"/>
        <w:ind w:left="-142"/>
        <w:contextualSpacing w:val="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Seznam návrhů projektů, u kterých byly splněny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podmínky </w:t>
      </w:r>
      <w:r w:rsidDel="00000000" w:rsidR="00000000" w:rsidRPr="00000000">
        <w:rPr>
          <w:b w:val="1"/>
          <w:rtl w:val="0"/>
        </w:rPr>
        <w:t xml:space="preserve">veřejné soutěže </w:t>
      </w:r>
    </w:p>
    <w:tbl>
      <w:tblPr>
        <w:tblStyle w:val="Table1"/>
        <w:tblW w:w="10065.0" w:type="dxa"/>
        <w:jc w:val="left"/>
        <w:tblInd w:w="-57.0" w:type="dxa"/>
        <w:tblLayout w:type="fixed"/>
        <w:tblLook w:val="0000"/>
      </w:tblPr>
      <w:tblGrid>
        <w:gridCol w:w="1560"/>
        <w:gridCol w:w="2977"/>
        <w:gridCol w:w="2479"/>
        <w:gridCol w:w="3049"/>
        <w:tblGridChange w:id="0">
          <w:tblGrid>
            <w:gridCol w:w="1560"/>
            <w:gridCol w:w="2977"/>
            <w:gridCol w:w="2479"/>
            <w:gridCol w:w="3049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4">
            <w:pPr>
              <w:spacing w:after="40" w:before="4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Číslo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5">
            <w:pPr>
              <w:spacing w:after="40" w:before="4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Název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6">
            <w:pPr>
              <w:spacing w:after="40" w:before="4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organizace hlavního uchazeče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7">
            <w:pPr>
              <w:spacing w:after="40" w:before="4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Názvy organizací všech dalších účastníků projektu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0" w:line="240" w:lineRule="auto"/>
              <w:ind w:left="84" w:right="-137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TH05020001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ind w:left="142" w:right="-137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Interaktivní učení pomocí percepce a akce pro modelování objektů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ind w:left="142" w:right="-137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České vysoké učení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ind w:left="142" w:right="-137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technické v Praze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ind w:left="117" w:right="48"/>
              <w:contextualSpacing w:val="0"/>
              <w:jc w:val="center"/>
              <w:rPr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34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536"/>
        <w:tab w:val="right" w:pos="9072"/>
      </w:tabs>
      <w:spacing w:before="0" w:line="240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before="0" w:line="240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536"/>
        <w:tab w:val="right" w:pos="9072"/>
      </w:tabs>
      <w:spacing w:before="0" w:line="240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F-286, Verze 1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3600000" cy="831600"/>
          <wp:effectExtent b="0" l="0" r="0" t="0"/>
          <wp:wrapSquare wrapText="bothSides" distB="0" distT="0" distL="0" distR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3600000" cy="831600"/>
          <wp:effectExtent b="0" l="0" r="0" t="0"/>
          <wp:wrapSquare wrapText="bothSides" distB="0" distT="0" distL="0" distR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tabs>
        <w:tab w:val="center" w:pos="4536"/>
        <w:tab w:val="left" w:pos="5670"/>
        <w:tab w:val="right" w:pos="9072"/>
        <w:tab w:val="right" w:pos="9638"/>
      </w:tabs>
      <w:spacing w:before="0" w:line="240" w:lineRule="auto"/>
      <w:contextualSpacing w:val="0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 xml:space="preserve">Veřejný</w:t>
    </w:r>
  </w:p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680" w:before="0" w:line="240" w:lineRule="auto"/>
      <w:contextualSpacing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Strana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left" w:pos="7365"/>
      </w:tabs>
      <w:spacing w:before="2438" w:line="240" w:lineRule="auto"/>
      <w:contextualSpacing w:val="0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-459104</wp:posOffset>
          </wp:positionV>
          <wp:extent cx="1439545" cy="143954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-CZ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