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476F" w:rsidRDefault="00FE476F">
      <w:pPr>
        <w:jc w:val="right"/>
        <w:rPr>
          <w:rFonts w:ascii="Cambria" w:eastAsia="Cambria" w:hAnsi="Cambria" w:cs="Cambria"/>
          <w:b/>
          <w:sz w:val="26"/>
          <w:szCs w:val="26"/>
        </w:rPr>
      </w:pPr>
    </w:p>
    <w:p w:rsidR="00DA65E7" w:rsidRDefault="004B10F3">
      <w:pPr>
        <w:jc w:val="right"/>
        <w:rPr>
          <w:rFonts w:ascii="Cambria" w:eastAsia="Cambria" w:hAnsi="Cambria" w:cs="Cambria"/>
          <w:b/>
          <w:sz w:val="26"/>
          <w:szCs w:val="26"/>
        </w:rPr>
      </w:pPr>
      <w:r>
        <w:rPr>
          <w:rFonts w:ascii="Cambria" w:eastAsia="Cambria" w:hAnsi="Cambria" w:cs="Cambria"/>
          <w:b/>
          <w:sz w:val="26"/>
          <w:szCs w:val="26"/>
        </w:rPr>
        <w:t xml:space="preserve">Formulář pro obdržení bonifikace </w:t>
      </w:r>
    </w:p>
    <w:p w:rsidR="00DA65E7" w:rsidRDefault="004B10F3" w:rsidP="00FE476F">
      <w:pPr>
        <w:spacing w:after="360"/>
        <w:jc w:val="right"/>
        <w:rPr>
          <w:rFonts w:ascii="Cambria" w:eastAsia="Cambria" w:hAnsi="Cambria" w:cs="Cambria"/>
          <w:b/>
          <w:sz w:val="26"/>
          <w:szCs w:val="26"/>
        </w:rPr>
      </w:pPr>
      <w:r>
        <w:rPr>
          <w:rFonts w:ascii="Cambria" w:eastAsia="Cambria" w:hAnsi="Cambria" w:cs="Cambria"/>
          <w:b/>
          <w:sz w:val="26"/>
          <w:szCs w:val="26"/>
        </w:rPr>
        <w:t>za pokročilé plnění personální politiky hlavního uchazeče</w:t>
      </w:r>
    </w:p>
    <w:tbl>
      <w:tblPr>
        <w:tblStyle w:val="a"/>
        <w:tblW w:w="99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8"/>
        <w:gridCol w:w="6075"/>
      </w:tblGrid>
      <w:tr w:rsidR="00DA65E7">
        <w:tc>
          <w:tcPr>
            <w:tcW w:w="3848" w:type="dxa"/>
            <w:tcBorders>
              <w:top w:val="single" w:sz="12" w:space="0" w:color="000000"/>
              <w:left w:val="single" w:sz="12" w:space="0" w:color="000000"/>
              <w:bottom w:val="single" w:sz="6" w:space="0" w:color="000000"/>
              <w:right w:val="single" w:sz="6" w:space="0" w:color="000000"/>
            </w:tcBorders>
            <w:shd w:val="clear" w:color="auto" w:fill="D9D9D9"/>
            <w:vAlign w:val="center"/>
          </w:tcPr>
          <w:p w:rsidR="00DA65E7" w:rsidRDefault="004B10F3">
            <w:pPr>
              <w:pBdr>
                <w:top w:val="nil"/>
                <w:left w:val="nil"/>
                <w:bottom w:val="nil"/>
                <w:right w:val="nil"/>
                <w:between w:val="nil"/>
              </w:pBdr>
              <w:spacing w:before="120" w:after="60" w:line="240" w:lineRule="auto"/>
              <w:contextualSpacing w:val="0"/>
              <w:rPr>
                <w:rFonts w:ascii="Cambria" w:eastAsia="Cambria" w:hAnsi="Cambria" w:cs="Cambria"/>
              </w:rPr>
            </w:pPr>
            <w:r>
              <w:rPr>
                <w:rFonts w:ascii="Cambria" w:eastAsia="Cambria" w:hAnsi="Cambria" w:cs="Cambria"/>
                <w:b/>
              </w:rPr>
              <w:t>Kód projektu:</w:t>
            </w:r>
          </w:p>
        </w:tc>
        <w:tc>
          <w:tcPr>
            <w:tcW w:w="6075" w:type="dxa"/>
            <w:tcBorders>
              <w:top w:val="single" w:sz="12" w:space="0" w:color="000000"/>
              <w:left w:val="single" w:sz="6" w:space="0" w:color="000000"/>
              <w:bottom w:val="single" w:sz="6" w:space="0" w:color="000000"/>
              <w:right w:val="single" w:sz="12" w:space="0" w:color="000000"/>
            </w:tcBorders>
            <w:vAlign w:val="center"/>
          </w:tcPr>
          <w:p w:rsidR="00DA65E7" w:rsidRDefault="004B10F3">
            <w:pPr>
              <w:spacing w:before="60" w:after="60" w:line="240" w:lineRule="auto"/>
              <w:contextualSpacing w:val="0"/>
              <w:jc w:val="both"/>
              <w:rPr>
                <w:rFonts w:ascii="Cambria" w:eastAsia="Cambria" w:hAnsi="Cambria" w:cs="Cambria"/>
              </w:rPr>
            </w:pPr>
            <w:r>
              <w:rPr>
                <w:rFonts w:ascii="Cambria" w:eastAsia="Cambria" w:hAnsi="Cambria" w:cs="Cambria"/>
              </w:rPr>
              <w:t>TJ0200</w:t>
            </w:r>
          </w:p>
        </w:tc>
      </w:tr>
      <w:tr w:rsidR="00DA65E7">
        <w:trPr>
          <w:trHeight w:val="420"/>
        </w:trPr>
        <w:tc>
          <w:tcPr>
            <w:tcW w:w="3848" w:type="dxa"/>
            <w:tcBorders>
              <w:top w:val="single" w:sz="6" w:space="0" w:color="000000"/>
              <w:left w:val="single" w:sz="12" w:space="0" w:color="000000"/>
              <w:bottom w:val="single" w:sz="6" w:space="0" w:color="000000"/>
              <w:right w:val="single" w:sz="6" w:space="0" w:color="000000"/>
            </w:tcBorders>
            <w:shd w:val="clear" w:color="auto" w:fill="D9D9D9"/>
            <w:vAlign w:val="center"/>
          </w:tcPr>
          <w:p w:rsidR="00DA65E7" w:rsidRDefault="004B10F3">
            <w:pPr>
              <w:spacing w:before="60" w:after="60" w:line="240" w:lineRule="auto"/>
              <w:contextualSpacing w:val="0"/>
              <w:rPr>
                <w:rFonts w:ascii="Cambria" w:eastAsia="Cambria" w:hAnsi="Cambria" w:cs="Cambria"/>
              </w:rPr>
            </w:pPr>
            <w:r>
              <w:rPr>
                <w:rFonts w:ascii="Cambria" w:eastAsia="Cambria" w:hAnsi="Cambria" w:cs="Cambria"/>
                <w:b/>
              </w:rPr>
              <w:t>Název projektu:</w:t>
            </w:r>
          </w:p>
        </w:tc>
        <w:tc>
          <w:tcPr>
            <w:tcW w:w="6075" w:type="dxa"/>
            <w:tcBorders>
              <w:top w:val="single" w:sz="6" w:space="0" w:color="000000"/>
              <w:left w:val="single" w:sz="6" w:space="0" w:color="000000"/>
              <w:bottom w:val="single" w:sz="6" w:space="0" w:color="000000"/>
              <w:right w:val="single" w:sz="12" w:space="0" w:color="000000"/>
            </w:tcBorders>
          </w:tcPr>
          <w:p w:rsidR="00DA65E7" w:rsidRDefault="00DA65E7">
            <w:pPr>
              <w:spacing w:before="60" w:after="60" w:line="240" w:lineRule="auto"/>
              <w:contextualSpacing w:val="0"/>
              <w:jc w:val="both"/>
              <w:rPr>
                <w:rFonts w:ascii="Cambria" w:eastAsia="Cambria" w:hAnsi="Cambria" w:cs="Cambria"/>
              </w:rPr>
            </w:pPr>
          </w:p>
        </w:tc>
      </w:tr>
      <w:tr w:rsidR="00DA65E7">
        <w:trPr>
          <w:trHeight w:val="420"/>
        </w:trPr>
        <w:tc>
          <w:tcPr>
            <w:tcW w:w="3848" w:type="dxa"/>
            <w:tcBorders>
              <w:top w:val="single" w:sz="6" w:space="0" w:color="000000"/>
              <w:left w:val="single" w:sz="12" w:space="0" w:color="000000"/>
              <w:bottom w:val="single" w:sz="6" w:space="0" w:color="000000"/>
              <w:right w:val="single" w:sz="6" w:space="0" w:color="000000"/>
            </w:tcBorders>
            <w:shd w:val="clear" w:color="auto" w:fill="D9D9D9"/>
            <w:vAlign w:val="center"/>
          </w:tcPr>
          <w:p w:rsidR="00DA65E7" w:rsidRDefault="004B10F3">
            <w:pPr>
              <w:spacing w:before="60" w:after="60" w:line="240" w:lineRule="auto"/>
              <w:contextualSpacing w:val="0"/>
              <w:rPr>
                <w:rFonts w:ascii="Cambria" w:eastAsia="Cambria" w:hAnsi="Cambria" w:cs="Cambria"/>
              </w:rPr>
            </w:pPr>
            <w:r>
              <w:rPr>
                <w:rFonts w:ascii="Cambria" w:eastAsia="Cambria" w:hAnsi="Cambria" w:cs="Cambria"/>
                <w:b/>
              </w:rPr>
              <w:t>Hlavní uchazeč (Obchodní jméno):</w:t>
            </w:r>
          </w:p>
        </w:tc>
        <w:tc>
          <w:tcPr>
            <w:tcW w:w="6075" w:type="dxa"/>
            <w:tcBorders>
              <w:top w:val="single" w:sz="6" w:space="0" w:color="000000"/>
              <w:left w:val="single" w:sz="6" w:space="0" w:color="000000"/>
              <w:bottom w:val="single" w:sz="6" w:space="0" w:color="000000"/>
              <w:right w:val="single" w:sz="12" w:space="0" w:color="000000"/>
            </w:tcBorders>
          </w:tcPr>
          <w:p w:rsidR="00DA65E7" w:rsidRDefault="00DA65E7">
            <w:pPr>
              <w:spacing w:before="60" w:after="60" w:line="240" w:lineRule="auto"/>
              <w:contextualSpacing w:val="0"/>
              <w:jc w:val="both"/>
              <w:rPr>
                <w:rFonts w:ascii="Cambria" w:eastAsia="Cambria" w:hAnsi="Cambria" w:cs="Cambria"/>
              </w:rPr>
            </w:pPr>
            <w:bookmarkStart w:id="0" w:name="_gjdgxs" w:colFirst="0" w:colLast="0"/>
            <w:bookmarkEnd w:id="0"/>
          </w:p>
        </w:tc>
      </w:tr>
      <w:tr w:rsidR="00DA65E7">
        <w:trPr>
          <w:trHeight w:val="420"/>
        </w:trPr>
        <w:tc>
          <w:tcPr>
            <w:tcW w:w="3848" w:type="dxa"/>
            <w:tcBorders>
              <w:top w:val="single" w:sz="6" w:space="0" w:color="000000"/>
              <w:left w:val="single" w:sz="12" w:space="0" w:color="000000"/>
              <w:bottom w:val="single" w:sz="6" w:space="0" w:color="000000"/>
              <w:right w:val="single" w:sz="6" w:space="0" w:color="000000"/>
            </w:tcBorders>
            <w:shd w:val="clear" w:color="auto" w:fill="D9D9D9"/>
            <w:vAlign w:val="center"/>
          </w:tcPr>
          <w:p w:rsidR="00DA65E7" w:rsidRDefault="004B10F3">
            <w:pPr>
              <w:spacing w:before="60" w:after="60" w:line="240" w:lineRule="auto"/>
              <w:contextualSpacing w:val="0"/>
              <w:rPr>
                <w:rFonts w:ascii="Cambria" w:eastAsia="Cambria" w:hAnsi="Cambria" w:cs="Cambria"/>
                <w:b/>
              </w:rPr>
            </w:pPr>
            <w:r>
              <w:rPr>
                <w:rFonts w:ascii="Cambria" w:eastAsia="Cambria" w:hAnsi="Cambria" w:cs="Cambria"/>
                <w:b/>
              </w:rPr>
              <w:t>Organizační jednotka:</w:t>
            </w:r>
          </w:p>
        </w:tc>
        <w:tc>
          <w:tcPr>
            <w:tcW w:w="6075" w:type="dxa"/>
            <w:tcBorders>
              <w:top w:val="single" w:sz="6" w:space="0" w:color="000000"/>
              <w:left w:val="single" w:sz="6" w:space="0" w:color="000000"/>
              <w:bottom w:val="single" w:sz="6" w:space="0" w:color="000000"/>
              <w:right w:val="single" w:sz="12" w:space="0" w:color="000000"/>
            </w:tcBorders>
          </w:tcPr>
          <w:p w:rsidR="00DA65E7" w:rsidRDefault="00DA65E7">
            <w:pPr>
              <w:spacing w:before="60" w:after="60" w:line="240" w:lineRule="auto"/>
              <w:contextualSpacing w:val="0"/>
              <w:jc w:val="both"/>
              <w:rPr>
                <w:rFonts w:ascii="Cambria" w:eastAsia="Cambria" w:hAnsi="Cambria" w:cs="Cambria"/>
              </w:rPr>
            </w:pPr>
          </w:p>
        </w:tc>
      </w:tr>
    </w:tbl>
    <w:p w:rsidR="00DA65E7" w:rsidRDefault="004B10F3">
      <w:pPr>
        <w:spacing w:before="240" w:after="200"/>
        <w:jc w:val="both"/>
        <w:rPr>
          <w:rFonts w:ascii="Cambria" w:eastAsia="Cambria" w:hAnsi="Cambria" w:cs="Cambria"/>
        </w:rPr>
      </w:pPr>
      <w:bookmarkStart w:id="1" w:name="_30j0zll" w:colFirst="0" w:colLast="0"/>
      <w:bookmarkStart w:id="2" w:name="_yb7v0x3au3jk" w:colFirst="0" w:colLast="0"/>
      <w:bookmarkEnd w:id="1"/>
      <w:bookmarkEnd w:id="2"/>
      <w:r>
        <w:rPr>
          <w:rFonts w:ascii="Cambria" w:eastAsia="Cambria" w:hAnsi="Cambria" w:cs="Cambria"/>
        </w:rPr>
        <w:t>Pro získání bonifikace 10 bodů musí hlavní uchazeč prokázat pokročilou úroveň personální politiky ve</w:t>
      </w:r>
      <w:r w:rsidR="00501376">
        <w:rPr>
          <w:rFonts w:ascii="Cambria" w:eastAsia="Cambria" w:hAnsi="Cambria" w:cs="Cambria"/>
        </w:rPr>
        <w:t> </w:t>
      </w:r>
      <w:r>
        <w:rPr>
          <w:rFonts w:ascii="Cambria" w:eastAsia="Cambria" w:hAnsi="Cambria" w:cs="Cambria"/>
        </w:rPr>
        <w:t xml:space="preserve">své organizaci. V návrhu projektu v kapitole 3 </w:t>
      </w:r>
      <w:r>
        <w:rPr>
          <w:rFonts w:ascii="Cambria" w:eastAsia="Cambria" w:hAnsi="Cambria" w:cs="Cambria"/>
          <w:i/>
        </w:rPr>
        <w:t>Představení projektu/Personální politika/Máte zájem o</w:t>
      </w:r>
      <w:r w:rsidR="00501376">
        <w:rPr>
          <w:rFonts w:ascii="Cambria" w:eastAsia="Cambria" w:hAnsi="Cambria" w:cs="Cambria"/>
          <w:i/>
        </w:rPr>
        <w:t> </w:t>
      </w:r>
      <w:r>
        <w:rPr>
          <w:rFonts w:ascii="Cambria" w:eastAsia="Cambria" w:hAnsi="Cambria" w:cs="Cambria"/>
          <w:i/>
        </w:rPr>
        <w:t>bonifikaci za plnění personální politiky u hlavního uchazeče?</w:t>
      </w:r>
      <w:r w:rsidR="00501376">
        <w:rPr>
          <w:rFonts w:ascii="Cambria" w:eastAsia="Cambria" w:hAnsi="Cambria" w:cs="Cambria"/>
        </w:rPr>
        <w:t xml:space="preserve"> </w:t>
      </w:r>
      <w:proofErr w:type="gramStart"/>
      <w:r w:rsidR="00501376">
        <w:rPr>
          <w:rFonts w:ascii="Cambria" w:eastAsia="Cambria" w:hAnsi="Cambria" w:cs="Cambria"/>
        </w:rPr>
        <w:t>je</w:t>
      </w:r>
      <w:proofErr w:type="gramEnd"/>
      <w:r w:rsidR="00501376">
        <w:rPr>
          <w:rFonts w:ascii="Cambria" w:eastAsia="Cambria" w:hAnsi="Cambria" w:cs="Cambria"/>
        </w:rPr>
        <w:t xml:space="preserve"> nezbytné vybrat možnost „ANO“</w:t>
      </w:r>
      <w:r>
        <w:rPr>
          <w:rFonts w:ascii="Cambria" w:eastAsia="Cambria" w:hAnsi="Cambria" w:cs="Cambria"/>
        </w:rPr>
        <w:t>.</w:t>
      </w:r>
    </w:p>
    <w:p w:rsidR="00DA65E7" w:rsidRDefault="004B10F3">
      <w:pPr>
        <w:spacing w:before="240" w:after="200"/>
        <w:jc w:val="both"/>
        <w:rPr>
          <w:rFonts w:ascii="Cambria" w:eastAsia="Cambria" w:hAnsi="Cambria" w:cs="Cambria"/>
        </w:rPr>
      </w:pPr>
      <w:bookmarkStart w:id="3" w:name="_3je7hlr6137f" w:colFirst="0" w:colLast="0"/>
      <w:bookmarkEnd w:id="3"/>
      <w:r>
        <w:rPr>
          <w:rFonts w:ascii="Cambria" w:eastAsia="Cambria" w:hAnsi="Cambria" w:cs="Cambria"/>
        </w:rPr>
        <w:t>Pokud uchazeč neprokáže pokročilé plnění personální politiky u hlavního uchazeče nebo nedoloží patřičné přílohy, bude hodnocen 0 body.</w:t>
      </w:r>
    </w:p>
    <w:p w:rsidR="00DA65E7" w:rsidRDefault="004B10F3">
      <w:pPr>
        <w:spacing w:after="200"/>
        <w:jc w:val="both"/>
        <w:rPr>
          <w:rFonts w:ascii="Cambria" w:eastAsia="Cambria" w:hAnsi="Cambria" w:cs="Cambria"/>
        </w:rPr>
      </w:pPr>
      <w:r>
        <w:rPr>
          <w:rFonts w:ascii="Cambria" w:eastAsia="Cambria" w:hAnsi="Cambria" w:cs="Cambria"/>
        </w:rPr>
        <w:t xml:space="preserve">Pro obdržení bonifikace musí hlavní uchazeč splňovat </w:t>
      </w:r>
      <w:r>
        <w:rPr>
          <w:rFonts w:ascii="Cambria" w:eastAsia="Cambria" w:hAnsi="Cambria" w:cs="Cambria"/>
          <w:b/>
        </w:rPr>
        <w:t xml:space="preserve">alespoň 1 podmínku </w:t>
      </w:r>
      <w:r>
        <w:rPr>
          <w:rFonts w:ascii="Cambria" w:eastAsia="Cambria" w:hAnsi="Cambria" w:cs="Cambria"/>
        </w:rPr>
        <w:t>(vybráno</w:t>
      </w:r>
      <w:r>
        <w:rPr>
          <w:rFonts w:ascii="Cambria" w:eastAsia="Cambria" w:hAnsi="Cambria" w:cs="Cambria"/>
          <w:b/>
        </w:rPr>
        <w:t xml:space="preserve"> </w:t>
      </w:r>
      <w:r>
        <w:rPr>
          <w:rFonts w:ascii="Cambria" w:eastAsia="Cambria" w:hAnsi="Cambria" w:cs="Cambria"/>
        </w:rPr>
        <w:t xml:space="preserve">může být více podmínek). Prosím, </w:t>
      </w:r>
      <w:r>
        <w:rPr>
          <w:rFonts w:ascii="Cambria" w:eastAsia="Cambria" w:hAnsi="Cambria" w:cs="Cambria"/>
          <w:b/>
        </w:rPr>
        <w:t>zaškrtněte, na základě které podmínky/</w:t>
      </w:r>
      <w:proofErr w:type="spellStart"/>
      <w:r>
        <w:rPr>
          <w:rFonts w:ascii="Cambria" w:eastAsia="Cambria" w:hAnsi="Cambria" w:cs="Cambria"/>
          <w:b/>
        </w:rPr>
        <w:t>ek</w:t>
      </w:r>
      <w:proofErr w:type="spellEnd"/>
      <w:r>
        <w:rPr>
          <w:rFonts w:ascii="Cambria" w:eastAsia="Cambria" w:hAnsi="Cambria" w:cs="Cambria"/>
          <w:b/>
        </w:rPr>
        <w:t xml:space="preserve"> chcete bonifikaci získat</w:t>
      </w:r>
      <w:r>
        <w:rPr>
          <w:rFonts w:ascii="Cambria" w:eastAsia="Cambria" w:hAnsi="Cambria" w:cs="Cambria"/>
        </w:rPr>
        <w:t xml:space="preserve"> (je nutné, aby bylo stejně zvoleno i v elektronickém návrhu projektu (přihlášce) v ISTA v kapitole 3 </w:t>
      </w:r>
      <w:r>
        <w:rPr>
          <w:rFonts w:ascii="Cambria" w:eastAsia="Cambria" w:hAnsi="Cambria" w:cs="Cambria"/>
          <w:i/>
        </w:rPr>
        <w:t>Představení projektu</w:t>
      </w:r>
      <w:r>
        <w:rPr>
          <w:rFonts w:ascii="Cambria" w:eastAsia="Cambria" w:hAnsi="Cambria" w:cs="Cambria"/>
        </w:rPr>
        <w:t>):</w:t>
      </w:r>
    </w:p>
    <w:p w:rsidR="00DA65E7" w:rsidRDefault="004B10F3" w:rsidP="00501376">
      <w:pPr>
        <w:spacing w:after="60"/>
        <w:jc w:val="both"/>
        <w:rPr>
          <w:rFonts w:ascii="Cambria" w:eastAsia="Cambria" w:hAnsi="Cambria" w:cs="Cambria"/>
        </w:rPr>
      </w:pPr>
      <w:r>
        <w:rPr>
          <w:rFonts w:ascii="MS Gothic" w:eastAsia="MS Gothic" w:hAnsi="MS Gothic" w:cs="MS Gothic"/>
          <w:sz w:val="28"/>
          <w:szCs w:val="28"/>
        </w:rPr>
        <w:t>☐</w:t>
      </w:r>
      <w:r>
        <w:rPr>
          <w:sz w:val="28"/>
          <w:szCs w:val="28"/>
        </w:rPr>
        <w:tab/>
      </w:r>
      <w:r w:rsidRPr="007A30EC">
        <w:rPr>
          <w:rFonts w:ascii="Cambria" w:eastAsia="Cambria" w:hAnsi="Cambria" w:cs="Cambria"/>
          <w:b/>
        </w:rPr>
        <w:t xml:space="preserve">Hlavní uchazeč je držitelem HR Excellence in </w:t>
      </w:r>
      <w:proofErr w:type="spellStart"/>
      <w:r w:rsidRPr="007A30EC">
        <w:rPr>
          <w:rFonts w:ascii="Cambria" w:eastAsia="Cambria" w:hAnsi="Cambria" w:cs="Cambria"/>
          <w:b/>
        </w:rPr>
        <w:t>Research</w:t>
      </w:r>
      <w:proofErr w:type="spellEnd"/>
      <w:r w:rsidRPr="007A30EC">
        <w:rPr>
          <w:rFonts w:ascii="Cambria" w:eastAsia="Cambria" w:hAnsi="Cambria" w:cs="Cambria"/>
          <w:b/>
        </w:rPr>
        <w:t xml:space="preserve"> </w:t>
      </w:r>
      <w:proofErr w:type="spellStart"/>
      <w:r w:rsidRPr="007A30EC">
        <w:rPr>
          <w:rFonts w:ascii="Cambria" w:eastAsia="Cambria" w:hAnsi="Cambria" w:cs="Cambria"/>
          <w:b/>
        </w:rPr>
        <w:t>Award</w:t>
      </w:r>
      <w:proofErr w:type="spellEnd"/>
      <w:r w:rsidRPr="007A30EC">
        <w:rPr>
          <w:rFonts w:ascii="Cambria" w:eastAsia="Cambria" w:hAnsi="Cambria" w:cs="Cambria"/>
          <w:b/>
        </w:rPr>
        <w:t xml:space="preserve"> (HR </w:t>
      </w:r>
      <w:proofErr w:type="spellStart"/>
      <w:r w:rsidRPr="007A30EC">
        <w:rPr>
          <w:rFonts w:ascii="Cambria" w:eastAsia="Cambria" w:hAnsi="Cambria" w:cs="Cambria"/>
          <w:b/>
        </w:rPr>
        <w:t>Award</w:t>
      </w:r>
      <w:proofErr w:type="spellEnd"/>
      <w:r w:rsidRPr="007A30EC">
        <w:rPr>
          <w:rFonts w:ascii="Cambria" w:eastAsia="Cambria" w:hAnsi="Cambria" w:cs="Cambria"/>
          <w:b/>
        </w:rPr>
        <w:t>).</w:t>
      </w:r>
    </w:p>
    <w:p w:rsidR="00DA65E7" w:rsidRDefault="004B10F3">
      <w:pPr>
        <w:spacing w:after="200"/>
        <w:jc w:val="both"/>
        <w:rPr>
          <w:rFonts w:ascii="Cambria" w:eastAsia="Cambria" w:hAnsi="Cambria" w:cs="Cambria"/>
        </w:rPr>
      </w:pPr>
      <w:r>
        <w:rPr>
          <w:rFonts w:ascii="Cambria" w:eastAsia="Cambria" w:hAnsi="Cambria" w:cs="Cambria"/>
          <w:i/>
        </w:rPr>
        <w:t xml:space="preserve">Způsob doložení: </w:t>
      </w:r>
      <w:r>
        <w:rPr>
          <w:rFonts w:ascii="Cambria" w:eastAsia="Cambria" w:hAnsi="Cambria" w:cs="Cambria"/>
          <w:i/>
          <w:color w:val="333333"/>
          <w:highlight w:val="white"/>
        </w:rPr>
        <w:t>kopie potvrzující e-mailové zprávy z Evropské Komise (EK), kde je uvedeno oznámení, že se uchazeč zařadí do seznamu vedeného EURAXESS: (</w:t>
      </w:r>
      <w:hyperlink r:id="rId7">
        <w:r w:rsidRPr="004B10F3">
          <w:rPr>
            <w:rFonts w:ascii="Cambria" w:eastAsia="Cambria" w:hAnsi="Cambria" w:cs="Cambria"/>
            <w:i/>
            <w:color w:val="FF0000"/>
            <w:highlight w:val="white"/>
            <w:u w:val="single"/>
          </w:rPr>
          <w:t>https://euraxess.ec.europa.eu/jobs/hrs4r</w:t>
        </w:r>
      </w:hyperlink>
      <w:r>
        <w:rPr>
          <w:rFonts w:ascii="Cambria" w:eastAsia="Cambria" w:hAnsi="Cambria" w:cs="Cambria"/>
          <w:i/>
          <w:color w:val="333333"/>
          <w:highlight w:val="white"/>
        </w:rPr>
        <w:t>), nebo odkaz na uvedený seznam.</w:t>
      </w:r>
    </w:p>
    <w:p w:rsidR="00DA65E7" w:rsidRDefault="004B10F3" w:rsidP="00501376">
      <w:pPr>
        <w:tabs>
          <w:tab w:val="left" w:pos="720"/>
          <w:tab w:val="left" w:pos="1180"/>
        </w:tabs>
        <w:spacing w:after="60"/>
        <w:jc w:val="both"/>
        <w:rPr>
          <w:sz w:val="28"/>
          <w:szCs w:val="28"/>
        </w:rPr>
      </w:pPr>
      <w:r>
        <w:rPr>
          <w:rFonts w:ascii="MS Gothic" w:eastAsia="MS Gothic" w:hAnsi="MS Gothic" w:cs="MS Gothic"/>
          <w:sz w:val="28"/>
          <w:szCs w:val="28"/>
        </w:rPr>
        <w:t>☐</w:t>
      </w:r>
      <w:r>
        <w:rPr>
          <w:sz w:val="28"/>
          <w:szCs w:val="28"/>
        </w:rPr>
        <w:tab/>
      </w:r>
      <w:r w:rsidRPr="007A30EC">
        <w:rPr>
          <w:rFonts w:ascii="Cambria" w:eastAsia="Cambria" w:hAnsi="Cambria" w:cs="Cambria"/>
          <w:b/>
        </w:rPr>
        <w:t>Hlavní uchazeč má ocenění Firma roku: Rovné příležitosti (nejpozději z roku 2013).</w:t>
      </w:r>
      <w:r w:rsidRPr="007A30EC">
        <w:rPr>
          <w:b/>
          <w:sz w:val="28"/>
          <w:szCs w:val="28"/>
        </w:rPr>
        <w:tab/>
      </w:r>
    </w:p>
    <w:p w:rsidR="00DA65E7" w:rsidRDefault="004B10F3">
      <w:pPr>
        <w:tabs>
          <w:tab w:val="left" w:pos="720"/>
          <w:tab w:val="left" w:pos="1180"/>
        </w:tabs>
        <w:spacing w:after="200"/>
        <w:jc w:val="both"/>
        <w:rPr>
          <w:sz w:val="28"/>
          <w:szCs w:val="28"/>
        </w:rPr>
      </w:pPr>
      <w:r>
        <w:rPr>
          <w:rFonts w:ascii="Cambria" w:eastAsia="Cambria" w:hAnsi="Cambria" w:cs="Cambria"/>
          <w:i/>
        </w:rPr>
        <w:t xml:space="preserve">Způsob doložení: doklad o udělení ocenění nebo odkaz na informaci o jeho udělení na webových stránkách Gender </w:t>
      </w:r>
      <w:proofErr w:type="spellStart"/>
      <w:r>
        <w:rPr>
          <w:rFonts w:ascii="Cambria" w:eastAsia="Cambria" w:hAnsi="Cambria" w:cs="Cambria"/>
          <w:i/>
        </w:rPr>
        <w:t>Studies</w:t>
      </w:r>
      <w:proofErr w:type="spellEnd"/>
      <w:r>
        <w:rPr>
          <w:rFonts w:ascii="Cambria" w:eastAsia="Cambria" w:hAnsi="Cambria" w:cs="Cambria"/>
          <w:i/>
        </w:rPr>
        <w:t>, o.p.s.</w:t>
      </w:r>
    </w:p>
    <w:p w:rsidR="00DA65E7" w:rsidRPr="007A30EC" w:rsidRDefault="004B10F3" w:rsidP="00501376">
      <w:pPr>
        <w:tabs>
          <w:tab w:val="left" w:pos="720"/>
        </w:tabs>
        <w:spacing w:after="60"/>
        <w:ind w:left="720" w:hanging="720"/>
        <w:jc w:val="both"/>
        <w:rPr>
          <w:rFonts w:ascii="Cambria" w:eastAsia="Cambria" w:hAnsi="Cambria" w:cs="Cambria"/>
          <w:b/>
        </w:rPr>
      </w:pPr>
      <w:r>
        <w:rPr>
          <w:rFonts w:ascii="MS Gothic" w:eastAsia="MS Gothic" w:hAnsi="MS Gothic" w:cs="MS Gothic"/>
          <w:sz w:val="28"/>
          <w:szCs w:val="28"/>
        </w:rPr>
        <w:t>☐</w:t>
      </w:r>
      <w:r>
        <w:rPr>
          <w:sz w:val="28"/>
          <w:szCs w:val="28"/>
        </w:rPr>
        <w:tab/>
      </w:r>
      <w:r w:rsidRPr="007A30EC">
        <w:rPr>
          <w:rFonts w:ascii="Cambria" w:eastAsia="Cambria" w:hAnsi="Cambria" w:cs="Cambria"/>
          <w:b/>
        </w:rPr>
        <w:t>Hlavní uchazeč se nachází ve fázi implementace plánu genderové rovnosti (GEP), které předcházelo detailní mapování situace v instituci.</w:t>
      </w:r>
    </w:p>
    <w:p w:rsidR="00DA65E7" w:rsidRDefault="004B10F3" w:rsidP="00501376">
      <w:pPr>
        <w:tabs>
          <w:tab w:val="left" w:pos="720"/>
        </w:tabs>
        <w:spacing w:after="200"/>
        <w:jc w:val="both"/>
        <w:rPr>
          <w:rFonts w:ascii="Cambria" w:eastAsia="Cambria" w:hAnsi="Cambria" w:cs="Cambria"/>
        </w:rPr>
      </w:pPr>
      <w:r>
        <w:rPr>
          <w:rFonts w:ascii="Cambria" w:eastAsia="Cambria" w:hAnsi="Cambria" w:cs="Cambria"/>
          <w:i/>
        </w:rPr>
        <w:t xml:space="preserve">Způsob doložení: plán genderové rovnosti s jasným harmonogramem a odpovědnostmi, </w:t>
      </w:r>
      <w:r w:rsidR="00005CAD">
        <w:rPr>
          <w:rFonts w:ascii="Cambria" w:hAnsi="Cambria"/>
          <w:i/>
          <w:iCs/>
          <w:color w:val="000000"/>
        </w:rPr>
        <w:t>dokumentace předchozího mapování situace v instituci a již implementovaných kroků</w:t>
      </w:r>
      <w:r>
        <w:rPr>
          <w:rFonts w:ascii="Cambria" w:eastAsia="Cambria" w:hAnsi="Cambria" w:cs="Cambria"/>
          <w:i/>
        </w:rPr>
        <w:t>.</w:t>
      </w:r>
    </w:p>
    <w:p w:rsidR="00501376" w:rsidRDefault="004B10F3">
      <w:pPr>
        <w:tabs>
          <w:tab w:val="left" w:pos="720"/>
        </w:tabs>
        <w:spacing w:after="200"/>
        <w:jc w:val="both"/>
        <w:rPr>
          <w:rFonts w:ascii="Cambria" w:eastAsia="Cambria" w:hAnsi="Cambria" w:cs="Cambria"/>
        </w:rPr>
      </w:pPr>
      <w:r>
        <w:rPr>
          <w:rFonts w:ascii="MS Gothic" w:eastAsia="MS Gothic" w:hAnsi="MS Gothic" w:cs="MS Gothic"/>
          <w:sz w:val="28"/>
          <w:szCs w:val="28"/>
        </w:rPr>
        <w:t>☐</w:t>
      </w:r>
      <w:r>
        <w:rPr>
          <w:sz w:val="28"/>
          <w:szCs w:val="28"/>
        </w:rPr>
        <w:tab/>
      </w:r>
      <w:r w:rsidRPr="007A30EC">
        <w:rPr>
          <w:rFonts w:ascii="Cambria" w:eastAsia="Cambria" w:hAnsi="Cambria" w:cs="Cambria"/>
          <w:b/>
        </w:rPr>
        <w:t>Hlavní uchazeč má zavedeny 2 nebo více opatření uvedená v následující tabulce.</w:t>
      </w:r>
    </w:p>
    <w:p w:rsidR="00552457" w:rsidRDefault="00552457">
      <w:pPr>
        <w:rPr>
          <w:rFonts w:ascii="Cambria" w:eastAsia="Cambria" w:hAnsi="Cambria" w:cs="Cambria"/>
        </w:rPr>
      </w:pPr>
    </w:p>
    <w:p w:rsidR="00501376" w:rsidRDefault="00552457" w:rsidP="004822CE">
      <w:pPr>
        <w:jc w:val="both"/>
        <w:rPr>
          <w:rFonts w:ascii="Cambria" w:eastAsia="Cambria" w:hAnsi="Cambria" w:cs="Cambria"/>
        </w:rPr>
      </w:pPr>
      <w:r>
        <w:rPr>
          <w:rFonts w:ascii="Cambria" w:eastAsia="Cambria" w:hAnsi="Cambria" w:cs="Cambria"/>
        </w:rPr>
        <w:t xml:space="preserve">Tento formulář vložte do </w:t>
      </w:r>
      <w:r w:rsidR="004822CE">
        <w:rPr>
          <w:rFonts w:ascii="Cambria" w:eastAsia="Cambria" w:hAnsi="Cambria" w:cs="Cambria"/>
        </w:rPr>
        <w:t xml:space="preserve">elektronického </w:t>
      </w:r>
      <w:r>
        <w:rPr>
          <w:rFonts w:ascii="Cambria" w:eastAsia="Cambria" w:hAnsi="Cambria" w:cs="Cambria"/>
        </w:rPr>
        <w:t>návrhu projektu</w:t>
      </w:r>
      <w:r w:rsidR="004822CE">
        <w:rPr>
          <w:rFonts w:ascii="Cambria" w:eastAsia="Cambria" w:hAnsi="Cambria" w:cs="Cambria"/>
        </w:rPr>
        <w:t xml:space="preserve"> v ISTA</w:t>
      </w:r>
      <w:r>
        <w:rPr>
          <w:rFonts w:ascii="Cambria" w:eastAsia="Cambria" w:hAnsi="Cambria" w:cs="Cambria"/>
        </w:rPr>
        <w:t xml:space="preserve"> do kapitoly </w:t>
      </w:r>
      <w:r w:rsidRPr="00552457">
        <w:rPr>
          <w:rFonts w:ascii="Cambria" w:eastAsia="Cambria" w:hAnsi="Cambria" w:cs="Cambria"/>
          <w:i/>
        </w:rPr>
        <w:t>9 Přílohy za projekt / Povinné přílohy / Formulář pro obdržení bonifikace za pokročilé plnění personální politiky hlavního uchazeče</w:t>
      </w:r>
      <w:r w:rsidR="004822CE">
        <w:rPr>
          <w:rFonts w:ascii="Cambria" w:eastAsia="Cambria" w:hAnsi="Cambria" w:cs="Cambria"/>
        </w:rPr>
        <w:t xml:space="preserve"> společně s ostatními</w:t>
      </w:r>
      <w:r w:rsidR="00A003A7">
        <w:rPr>
          <w:rFonts w:ascii="Cambria" w:eastAsia="Cambria" w:hAnsi="Cambria" w:cs="Cambria"/>
        </w:rPr>
        <w:t xml:space="preserve"> </w:t>
      </w:r>
      <w:r w:rsidR="004822CE">
        <w:rPr>
          <w:rFonts w:ascii="Cambria" w:eastAsia="Cambria" w:hAnsi="Cambria" w:cs="Cambria"/>
        </w:rPr>
        <w:t>případnými</w:t>
      </w:r>
      <w:r>
        <w:rPr>
          <w:rFonts w:ascii="Cambria" w:eastAsia="Cambria" w:hAnsi="Cambria" w:cs="Cambria"/>
        </w:rPr>
        <w:t xml:space="preserve"> </w:t>
      </w:r>
      <w:r w:rsidR="004822CE">
        <w:rPr>
          <w:rFonts w:ascii="Cambria" w:eastAsia="Cambria" w:hAnsi="Cambria" w:cs="Cambria"/>
        </w:rPr>
        <w:t>přílohami</w:t>
      </w:r>
      <w:r>
        <w:rPr>
          <w:rFonts w:ascii="Cambria" w:eastAsia="Cambria" w:hAnsi="Cambria" w:cs="Cambria"/>
        </w:rPr>
        <w:t xml:space="preserve"> </w:t>
      </w:r>
      <w:r w:rsidR="004822CE">
        <w:rPr>
          <w:rFonts w:ascii="Cambria" w:eastAsia="Cambria" w:hAnsi="Cambria" w:cs="Cambria"/>
        </w:rPr>
        <w:t>týkající se personální politiky</w:t>
      </w:r>
      <w:r>
        <w:rPr>
          <w:rFonts w:ascii="Cambria" w:eastAsia="Cambria" w:hAnsi="Cambria" w:cs="Cambria"/>
          <w:i/>
        </w:rPr>
        <w:t>.</w:t>
      </w:r>
      <w:r w:rsidR="00501376">
        <w:rPr>
          <w:rFonts w:ascii="Cambria" w:eastAsia="Cambria" w:hAnsi="Cambria" w:cs="Cambria"/>
        </w:rPr>
        <w:br w:type="page"/>
      </w:r>
    </w:p>
    <w:p w:rsidR="00DA65E7" w:rsidRDefault="004B10F3" w:rsidP="00BE46C9">
      <w:pPr>
        <w:tabs>
          <w:tab w:val="left" w:pos="720"/>
        </w:tabs>
        <w:spacing w:before="240" w:after="60"/>
        <w:jc w:val="both"/>
        <w:rPr>
          <w:rFonts w:ascii="Cambria" w:eastAsia="Cambria" w:hAnsi="Cambria" w:cs="Cambria"/>
        </w:rPr>
      </w:pPr>
      <w:r>
        <w:rPr>
          <w:rFonts w:ascii="Cambria" w:eastAsia="Cambria" w:hAnsi="Cambria" w:cs="Cambria"/>
        </w:rPr>
        <w:lastRenderedPageBreak/>
        <w:t>Pokud jste zvo</w:t>
      </w:r>
      <w:bookmarkStart w:id="4" w:name="_GoBack"/>
      <w:bookmarkEnd w:id="4"/>
      <w:r>
        <w:rPr>
          <w:rFonts w:ascii="Cambria" w:eastAsia="Cambria" w:hAnsi="Cambria" w:cs="Cambria"/>
        </w:rPr>
        <w:t xml:space="preserve">lili </w:t>
      </w:r>
      <w:r w:rsidRPr="00501376">
        <w:rPr>
          <w:rFonts w:ascii="Cambria" w:eastAsia="Cambria" w:hAnsi="Cambria" w:cs="Cambria"/>
          <w:b/>
        </w:rPr>
        <w:t>čtvrtou variantu</w:t>
      </w:r>
      <w:r>
        <w:rPr>
          <w:rFonts w:ascii="Cambria" w:eastAsia="Cambria" w:hAnsi="Cambria" w:cs="Cambria"/>
        </w:rPr>
        <w:t>, je nutné vyplnit následuj</w:t>
      </w:r>
      <w:r w:rsidR="00501376">
        <w:rPr>
          <w:rFonts w:ascii="Cambria" w:eastAsia="Cambria" w:hAnsi="Cambria" w:cs="Cambria"/>
        </w:rPr>
        <w:t xml:space="preserve">ící tabulku a </w:t>
      </w:r>
      <w:r w:rsidR="00501376" w:rsidRPr="00F50B68">
        <w:rPr>
          <w:rFonts w:ascii="Cambria" w:eastAsia="Cambria" w:hAnsi="Cambria" w:cs="Cambria"/>
          <w:b/>
        </w:rPr>
        <w:t>popsat plnění 2</w:t>
      </w:r>
      <w:r w:rsidRPr="00F50B68">
        <w:rPr>
          <w:rFonts w:ascii="Cambria" w:eastAsia="Cambria" w:hAnsi="Cambria" w:cs="Cambria"/>
          <w:b/>
        </w:rPr>
        <w:t xml:space="preserve"> nebo více opatření</w:t>
      </w:r>
      <w:r>
        <w:rPr>
          <w:rFonts w:ascii="Cambria" w:eastAsia="Cambria" w:hAnsi="Cambria" w:cs="Cambria"/>
        </w:rPr>
        <w:t xml:space="preserve"> (pokud opatření nesplňujete, nechte pole </w:t>
      </w:r>
      <w:r>
        <w:rPr>
          <w:rFonts w:ascii="Cambria" w:eastAsia="Cambria" w:hAnsi="Cambria" w:cs="Cambria"/>
          <w:i/>
        </w:rPr>
        <w:t>Stručný popis plnění</w:t>
      </w:r>
      <w:r>
        <w:rPr>
          <w:rFonts w:ascii="Cambria" w:eastAsia="Cambria" w:hAnsi="Cambria" w:cs="Cambria"/>
        </w:rPr>
        <w:t xml:space="preserve"> a </w:t>
      </w:r>
      <w:r>
        <w:rPr>
          <w:rFonts w:ascii="Cambria" w:eastAsia="Cambria" w:hAnsi="Cambria" w:cs="Cambria"/>
          <w:i/>
        </w:rPr>
        <w:t>Odkazy na příslušné dokumenty</w:t>
      </w:r>
      <w:r>
        <w:rPr>
          <w:rFonts w:ascii="Cambria" w:eastAsia="Cambria" w:hAnsi="Cambria" w:cs="Cambria"/>
        </w:rPr>
        <w:t xml:space="preserve"> prázdné):</w:t>
      </w:r>
    </w:p>
    <w:tbl>
      <w:tblPr>
        <w:tblStyle w:val="a0"/>
        <w:tblW w:w="1003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420"/>
        <w:gridCol w:w="3240"/>
        <w:gridCol w:w="3375"/>
      </w:tblGrid>
      <w:tr w:rsidR="00DA65E7" w:rsidTr="00501376">
        <w:trPr>
          <w:cantSplit/>
          <w:tblHeader/>
        </w:trPr>
        <w:tc>
          <w:tcPr>
            <w:tcW w:w="3420" w:type="dxa"/>
            <w:shd w:val="clear" w:color="auto" w:fill="D9D9D9" w:themeFill="background1" w:themeFillShade="D9"/>
            <w:vAlign w:val="center"/>
          </w:tcPr>
          <w:p w:rsidR="00DA65E7" w:rsidRDefault="004B10F3">
            <w:pPr>
              <w:spacing w:before="120" w:after="120"/>
              <w:rPr>
                <w:rFonts w:ascii="Cambria" w:eastAsia="Cambria" w:hAnsi="Cambria" w:cs="Cambria"/>
                <w:b/>
              </w:rPr>
            </w:pPr>
            <w:r>
              <w:rPr>
                <w:rFonts w:ascii="Cambria" w:eastAsia="Cambria" w:hAnsi="Cambria" w:cs="Cambria"/>
                <w:b/>
              </w:rPr>
              <w:t>Opatření</w:t>
            </w:r>
          </w:p>
        </w:tc>
        <w:tc>
          <w:tcPr>
            <w:tcW w:w="3240" w:type="dxa"/>
            <w:shd w:val="clear" w:color="auto" w:fill="D9D9D9" w:themeFill="background1" w:themeFillShade="D9"/>
            <w:vAlign w:val="center"/>
          </w:tcPr>
          <w:p w:rsidR="00DA65E7" w:rsidRDefault="004B10F3">
            <w:pPr>
              <w:spacing w:before="120" w:after="120"/>
              <w:jc w:val="center"/>
              <w:rPr>
                <w:rFonts w:ascii="Cambria" w:eastAsia="Cambria" w:hAnsi="Cambria" w:cs="Cambria"/>
                <w:b/>
              </w:rPr>
            </w:pPr>
            <w:r>
              <w:rPr>
                <w:rFonts w:ascii="Cambria" w:eastAsia="Cambria" w:hAnsi="Cambria" w:cs="Cambria"/>
                <w:b/>
              </w:rPr>
              <w:t>Stručný popis plnění*</w:t>
            </w:r>
          </w:p>
        </w:tc>
        <w:tc>
          <w:tcPr>
            <w:tcW w:w="3375" w:type="dxa"/>
            <w:shd w:val="clear" w:color="auto" w:fill="D9D9D9" w:themeFill="background1" w:themeFillShade="D9"/>
            <w:vAlign w:val="center"/>
          </w:tcPr>
          <w:p w:rsidR="00DA65E7" w:rsidRDefault="004B10F3">
            <w:pPr>
              <w:spacing w:before="120" w:after="120"/>
              <w:jc w:val="center"/>
              <w:rPr>
                <w:rFonts w:ascii="Cambria" w:eastAsia="Cambria" w:hAnsi="Cambria" w:cs="Cambria"/>
                <w:b/>
              </w:rPr>
            </w:pPr>
            <w:r>
              <w:rPr>
                <w:rFonts w:ascii="Cambria" w:eastAsia="Cambria" w:hAnsi="Cambria" w:cs="Cambria"/>
                <w:b/>
              </w:rPr>
              <w:t>Odkazy na příslušné dokumenty**</w:t>
            </w:r>
          </w:p>
        </w:tc>
      </w:tr>
      <w:tr w:rsidR="00DA65E7" w:rsidTr="00BE46C9">
        <w:trPr>
          <w:cantSplit/>
        </w:trPr>
        <w:tc>
          <w:tcPr>
            <w:tcW w:w="3420" w:type="dxa"/>
            <w:vAlign w:val="center"/>
          </w:tcPr>
          <w:p w:rsidR="00DA65E7" w:rsidRPr="00501376" w:rsidRDefault="004B10F3">
            <w:pPr>
              <w:spacing w:before="120" w:after="120"/>
              <w:rPr>
                <w:rFonts w:ascii="Cambria" w:eastAsia="Cambria" w:hAnsi="Cambria" w:cs="Cambria"/>
              </w:rPr>
            </w:pPr>
            <w:r w:rsidRPr="00501376">
              <w:rPr>
                <w:rFonts w:ascii="Cambria" w:eastAsia="Cambria" w:hAnsi="Cambria" w:cs="Cambria"/>
              </w:rPr>
              <w:t xml:space="preserve">Aspirace na získání ocenění HR </w:t>
            </w:r>
            <w:proofErr w:type="spellStart"/>
            <w:r w:rsidRPr="00501376">
              <w:rPr>
                <w:rFonts w:ascii="Cambria" w:eastAsia="Cambria" w:hAnsi="Cambria" w:cs="Cambria"/>
              </w:rPr>
              <w:t>Award</w:t>
            </w:r>
            <w:proofErr w:type="spellEnd"/>
            <w:r w:rsidRPr="00501376">
              <w:rPr>
                <w:rFonts w:ascii="Cambria" w:eastAsia="Cambria" w:hAnsi="Cambria" w:cs="Cambria"/>
              </w:rPr>
              <w:t xml:space="preserve"> (realizované oficiální přihlášení k Evropské chartě pro výzkumné pracovníky a Kodexu chování pro přijímání výzkumných pracovníků, probíhající řešitelství projektu OP VVV zaměřeného na získání tohoto ocenění).</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pPr>
              <w:spacing w:before="120" w:after="120"/>
              <w:rPr>
                <w:rFonts w:ascii="Cambria" w:eastAsia="Cambria" w:hAnsi="Cambria" w:cs="Cambria"/>
              </w:rPr>
            </w:pPr>
            <w:r w:rsidRPr="00501376">
              <w:rPr>
                <w:rFonts w:ascii="Cambria" w:eastAsia="Cambria" w:hAnsi="Cambria" w:cs="Cambria"/>
              </w:rPr>
              <w:t>Probíhající sestavování plánu genderové rovnosti (GEP), cílů a aktivit, které vycházejí z předchozího mapování situace v instituci nebo řešení obdobných projektů zaměřených na organizační změnu a podporu rovných příležitostí (např. v rámci podpory z H2020 nebo národních programů).</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pPr>
              <w:spacing w:before="120" w:after="120"/>
              <w:rPr>
                <w:rFonts w:ascii="Cambria" w:eastAsia="Cambria" w:hAnsi="Cambria" w:cs="Cambria"/>
              </w:rPr>
            </w:pPr>
            <w:r w:rsidRPr="00501376">
              <w:rPr>
                <w:rFonts w:ascii="Cambria" w:eastAsia="Cambria" w:hAnsi="Cambria" w:cs="Cambria"/>
              </w:rPr>
              <w:t>Provoz firemní školky nebo dětské skupiny, poskytování příspěvku na pokrytí péče rodičům po mateřské/rodičovské dovolené s cílem umožnit jim dřívější návrat do zaměstnání, případně jiná pokročilá opatření zacílená na usnadnění slaďování pracovního života a péče o děti.</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pPr>
              <w:spacing w:before="120" w:after="120"/>
              <w:rPr>
                <w:rFonts w:ascii="Cambria" w:eastAsia="Cambria" w:hAnsi="Cambria" w:cs="Cambria"/>
              </w:rPr>
            </w:pPr>
            <w:r w:rsidRPr="00501376">
              <w:rPr>
                <w:rFonts w:ascii="Cambria" w:eastAsia="Cambria" w:hAnsi="Cambria" w:cs="Cambria"/>
              </w:rPr>
              <w:t>Sběr a vyhodnocování genderových statistik např. v oblasti obsazení pracovních pozic, řídících orgánů, hodnotících či výběrových komisí, výše a typu úvazku, platového ohodnocení, využívání benefitů, úspěšnosti ve výběrovém řízení, odchodech zaměstnaných, účasti na školeních a dalším vzdělávání, pracovních cestách apod.</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rsidP="00FE476F">
            <w:pPr>
              <w:keepNext/>
              <w:widowControl/>
              <w:spacing w:before="120" w:after="120"/>
              <w:rPr>
                <w:rFonts w:ascii="Cambria" w:eastAsia="Cambria" w:hAnsi="Cambria" w:cs="Cambria"/>
              </w:rPr>
            </w:pPr>
            <w:r w:rsidRPr="00501376">
              <w:rPr>
                <w:rFonts w:ascii="Cambria" w:eastAsia="Cambria" w:hAnsi="Cambria" w:cs="Cambria"/>
              </w:rPr>
              <w:lastRenderedPageBreak/>
              <w:t>Disponuje pracovním úvazkem u</w:t>
            </w:r>
            <w:r w:rsidR="00FE476F">
              <w:rPr>
                <w:rFonts w:ascii="Cambria" w:eastAsia="Cambria" w:hAnsi="Cambria" w:cs="Cambria"/>
              </w:rPr>
              <w:t> </w:t>
            </w:r>
            <w:r w:rsidRPr="00501376">
              <w:rPr>
                <w:rFonts w:ascii="Cambria" w:eastAsia="Cambria" w:hAnsi="Cambria" w:cs="Cambria"/>
              </w:rPr>
              <w:t>osoby, která je odpovědná za genderovou rovnost/diverzitu na pracovišti, a to alespoň půl roku před podáním návrhu projektu.</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FE476F">
            <w:pPr>
              <w:spacing w:before="120" w:after="120"/>
              <w:rPr>
                <w:rFonts w:ascii="Cambria" w:eastAsia="Cambria" w:hAnsi="Cambria" w:cs="Cambria"/>
              </w:rPr>
            </w:pPr>
            <w:r>
              <w:rPr>
                <w:rFonts w:ascii="Cambria" w:eastAsia="Cambria" w:hAnsi="Cambria" w:cs="Cambria"/>
              </w:rPr>
              <w:t>Má ve svých řadách ombudsman</w:t>
            </w:r>
            <w:r w:rsidR="004B10F3" w:rsidRPr="00501376">
              <w:rPr>
                <w:rFonts w:ascii="Cambria" w:eastAsia="Cambria" w:hAnsi="Cambria" w:cs="Cambria"/>
              </w:rPr>
              <w:t>ku</w:t>
            </w:r>
            <w:r>
              <w:rPr>
                <w:rFonts w:ascii="Cambria" w:eastAsia="Cambria" w:hAnsi="Cambria" w:cs="Cambria"/>
              </w:rPr>
              <w:t>/ombudsmana pro zaměstnan</w:t>
            </w:r>
            <w:r w:rsidR="004B10F3" w:rsidRPr="00501376">
              <w:rPr>
                <w:rFonts w:ascii="Cambria" w:eastAsia="Cambria" w:hAnsi="Cambria" w:cs="Cambria"/>
              </w:rPr>
              <w:t>kyně</w:t>
            </w:r>
            <w:r>
              <w:rPr>
                <w:rFonts w:ascii="Cambria" w:eastAsia="Cambria" w:hAnsi="Cambria" w:cs="Cambria"/>
              </w:rPr>
              <w:t xml:space="preserve"> a zaměstnance</w:t>
            </w:r>
            <w:r w:rsidR="004B10F3" w:rsidRPr="00501376">
              <w:rPr>
                <w:rFonts w:ascii="Cambria" w:eastAsia="Cambria" w:hAnsi="Cambria" w:cs="Cambria"/>
              </w:rPr>
              <w:t>, a to alespoň půl roku před podání návrhu projektu.</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pPr>
              <w:spacing w:before="120" w:after="60"/>
              <w:rPr>
                <w:rFonts w:ascii="Cambria" w:eastAsia="Cambria" w:hAnsi="Cambria" w:cs="Cambria"/>
              </w:rPr>
            </w:pPr>
            <w:r w:rsidRPr="00501376">
              <w:rPr>
                <w:rFonts w:ascii="Cambria" w:eastAsia="Cambria" w:hAnsi="Cambria" w:cs="Cambria"/>
              </w:rPr>
              <w:t>Má nastaveny transparentní pravidla kariérního růstu, a to zejména:</w:t>
            </w:r>
          </w:p>
          <w:p w:rsidR="00DA65E7" w:rsidRPr="00501376" w:rsidRDefault="004B10F3">
            <w:pPr>
              <w:spacing w:after="60"/>
              <w:rPr>
                <w:rFonts w:ascii="Cambria" w:eastAsia="Cambria" w:hAnsi="Cambria" w:cs="Cambria"/>
              </w:rPr>
            </w:pPr>
            <w:r w:rsidRPr="00501376">
              <w:rPr>
                <w:rFonts w:ascii="Cambria" w:eastAsia="Cambria" w:hAnsi="Cambria" w:cs="Cambria"/>
              </w:rPr>
              <w:t xml:space="preserve">1. transparentní rozdělení institucionálních úvazků (např. počty na jednotlivá oddělení instituce) a způsobů jejich přidělování, </w:t>
            </w:r>
          </w:p>
          <w:p w:rsidR="00DA65E7" w:rsidRPr="00501376" w:rsidRDefault="004B10F3">
            <w:pPr>
              <w:spacing w:after="60"/>
              <w:rPr>
                <w:rFonts w:ascii="Cambria" w:eastAsia="Cambria" w:hAnsi="Cambria" w:cs="Cambria"/>
              </w:rPr>
            </w:pPr>
            <w:r w:rsidRPr="00501376">
              <w:rPr>
                <w:rFonts w:ascii="Cambria" w:eastAsia="Cambria" w:hAnsi="Cambria" w:cs="Cambria"/>
              </w:rPr>
              <w:t>2. ustanovení řešící řetězení smlu</w:t>
            </w:r>
            <w:r w:rsidR="00FE476F">
              <w:rPr>
                <w:rFonts w:ascii="Cambria" w:eastAsia="Cambria" w:hAnsi="Cambria" w:cs="Cambria"/>
              </w:rPr>
              <w:t xml:space="preserve">v (situace, kdy jsou akademické </w:t>
            </w:r>
            <w:r w:rsidRPr="00501376">
              <w:rPr>
                <w:rFonts w:ascii="Cambria" w:eastAsia="Cambria" w:hAnsi="Cambria" w:cs="Cambria"/>
              </w:rPr>
              <w:t>pracovnice</w:t>
            </w:r>
            <w:r w:rsidR="00FE476F">
              <w:rPr>
                <w:rFonts w:ascii="Cambria" w:eastAsia="Cambria" w:hAnsi="Cambria" w:cs="Cambria"/>
              </w:rPr>
              <w:t xml:space="preserve"> a</w:t>
            </w:r>
            <w:r w:rsidRPr="00501376">
              <w:rPr>
                <w:rFonts w:ascii="Cambria" w:eastAsia="Cambria" w:hAnsi="Cambria" w:cs="Cambria"/>
              </w:rPr>
              <w:t xml:space="preserve"> </w:t>
            </w:r>
            <w:r w:rsidR="00FE476F" w:rsidRPr="00501376">
              <w:rPr>
                <w:rFonts w:ascii="Cambria" w:eastAsia="Cambria" w:hAnsi="Cambria" w:cs="Cambria"/>
              </w:rPr>
              <w:t xml:space="preserve">pracovníci </w:t>
            </w:r>
            <w:r w:rsidRPr="00501376">
              <w:rPr>
                <w:rFonts w:ascii="Cambria" w:eastAsia="Cambria" w:hAnsi="Cambria" w:cs="Cambria"/>
              </w:rPr>
              <w:t xml:space="preserve">opakovaně zaměstnáváni na dobu určitou, například podle toho, zda má organizace projekt financovaný z třetích stran), </w:t>
            </w:r>
          </w:p>
          <w:p w:rsidR="00DA65E7" w:rsidRPr="00501376" w:rsidRDefault="004B10F3">
            <w:pPr>
              <w:spacing w:after="60"/>
              <w:rPr>
                <w:rFonts w:ascii="Cambria" w:eastAsia="Cambria" w:hAnsi="Cambria" w:cs="Cambria"/>
              </w:rPr>
            </w:pPr>
            <w:r w:rsidRPr="00501376">
              <w:rPr>
                <w:rFonts w:ascii="Cambria" w:eastAsia="Cambria" w:hAnsi="Cambria" w:cs="Cambria"/>
              </w:rPr>
              <w:t>3. návratnost a přerušení řešitelství projektů z dův</w:t>
            </w:r>
            <w:r w:rsidR="00FE476F">
              <w:rPr>
                <w:rFonts w:ascii="Cambria" w:eastAsia="Cambria" w:hAnsi="Cambria" w:cs="Cambria"/>
              </w:rPr>
              <w:t>odů dlouhodobé nemoci, mateřské</w:t>
            </w:r>
            <w:r w:rsidRPr="00501376">
              <w:rPr>
                <w:rFonts w:ascii="Cambria" w:eastAsia="Cambria" w:hAnsi="Cambria" w:cs="Cambria"/>
              </w:rPr>
              <w:t>/rodičovské dovolené apod.,</w:t>
            </w:r>
          </w:p>
          <w:p w:rsidR="00DA65E7" w:rsidRPr="00501376" w:rsidRDefault="004B10F3">
            <w:pPr>
              <w:spacing w:after="120"/>
              <w:rPr>
                <w:rFonts w:ascii="Cambria" w:eastAsia="Cambria" w:hAnsi="Cambria" w:cs="Cambria"/>
              </w:rPr>
            </w:pPr>
            <w:r w:rsidRPr="00501376">
              <w:rPr>
                <w:rFonts w:ascii="Cambria" w:eastAsia="Cambria" w:hAnsi="Cambria" w:cs="Cambria"/>
              </w:rPr>
              <w:t>4. stejná zaměstnanecká práva osob s institucionálním úvazkem s osobami zaměstnanými na projekt</w:t>
            </w:r>
            <w:r w:rsidR="00282E62">
              <w:rPr>
                <w:rFonts w:ascii="Cambria" w:eastAsia="Cambria" w:hAnsi="Cambria" w:cs="Cambria"/>
              </w:rPr>
              <w:t>u.</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Pr="00501376" w:rsidRDefault="004B10F3">
            <w:pPr>
              <w:spacing w:before="120" w:after="120"/>
              <w:rPr>
                <w:rFonts w:ascii="Cambria" w:eastAsia="Cambria" w:hAnsi="Cambria" w:cs="Cambria"/>
              </w:rPr>
            </w:pPr>
            <w:r w:rsidRPr="00501376">
              <w:rPr>
                <w:rFonts w:ascii="Cambria" w:eastAsia="Cambria" w:hAnsi="Cambria" w:cs="Cambria"/>
              </w:rPr>
              <w:t>Zohledňuje při hodnocení či prodlužování smluv publikační/výzkumné přestávky z důvodu rodičovství, péče o členy rodiny, dlouhodobé nemoci.</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Default="004B10F3" w:rsidP="004B10F3">
            <w:pPr>
              <w:keepNext/>
              <w:widowControl/>
              <w:spacing w:before="120" w:after="120"/>
              <w:rPr>
                <w:rFonts w:ascii="Cambria" w:eastAsia="Cambria" w:hAnsi="Cambria" w:cs="Cambria"/>
              </w:rPr>
            </w:pPr>
            <w:r>
              <w:rPr>
                <w:rFonts w:ascii="Cambria" w:eastAsia="Cambria" w:hAnsi="Cambria" w:cs="Cambria"/>
              </w:rPr>
              <w:lastRenderedPageBreak/>
              <w:t xml:space="preserve">Má programy aktivní podpory začínajících výzkumnic a výzkumníků (např. </w:t>
            </w:r>
            <w:proofErr w:type="spellStart"/>
            <w:r>
              <w:rPr>
                <w:rFonts w:ascii="Cambria" w:eastAsia="Cambria" w:hAnsi="Cambria" w:cs="Cambria"/>
              </w:rPr>
              <w:t>mentoringový</w:t>
            </w:r>
            <w:proofErr w:type="spellEnd"/>
            <w:r>
              <w:rPr>
                <w:rFonts w:ascii="Cambria" w:eastAsia="Cambria" w:hAnsi="Cambria" w:cs="Cambria"/>
              </w:rPr>
              <w:t xml:space="preserve"> program, profesní a osobnostně-rozvojové kurzy pro doktorandské studující nebo mladé výzkumné pracovnice a pracovníky).</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r w:rsidR="00DA65E7" w:rsidTr="00BE46C9">
        <w:trPr>
          <w:cantSplit/>
        </w:trPr>
        <w:tc>
          <w:tcPr>
            <w:tcW w:w="3420" w:type="dxa"/>
            <w:vAlign w:val="center"/>
          </w:tcPr>
          <w:p w:rsidR="00DA65E7" w:rsidRDefault="004B10F3">
            <w:pPr>
              <w:spacing w:before="120" w:after="120"/>
              <w:rPr>
                <w:rFonts w:ascii="Cambria" w:eastAsia="Cambria" w:hAnsi="Cambria" w:cs="Cambria"/>
              </w:rPr>
            </w:pPr>
            <w:r>
              <w:rPr>
                <w:rFonts w:ascii="Cambria" w:eastAsia="Cambria" w:hAnsi="Cambria" w:cs="Cambria"/>
              </w:rPr>
              <w:t>Další opatření (zde je možné uvést další realizované opatření, které považujete za znak pokročilé úrovně řízení lidských zdrojů a které současně napomáhá rozvoji rovných příležitostí žen a mužů a zapojení mladých výzkumných pracovníků a pracovnic do výzkumné a vývojové činnosti).</w:t>
            </w:r>
          </w:p>
        </w:tc>
        <w:tc>
          <w:tcPr>
            <w:tcW w:w="3240" w:type="dxa"/>
            <w:vAlign w:val="center"/>
          </w:tcPr>
          <w:p w:rsidR="00DA65E7" w:rsidRDefault="00DA65E7">
            <w:pPr>
              <w:spacing w:after="200"/>
              <w:jc w:val="center"/>
              <w:rPr>
                <w:rFonts w:ascii="Cambria" w:eastAsia="Cambria" w:hAnsi="Cambria" w:cs="Cambria"/>
              </w:rPr>
            </w:pPr>
          </w:p>
        </w:tc>
        <w:tc>
          <w:tcPr>
            <w:tcW w:w="3375" w:type="dxa"/>
            <w:vAlign w:val="center"/>
          </w:tcPr>
          <w:p w:rsidR="00DA65E7" w:rsidRDefault="00DA65E7">
            <w:pPr>
              <w:spacing w:after="200"/>
              <w:jc w:val="center"/>
              <w:rPr>
                <w:rFonts w:ascii="Cambria" w:eastAsia="Cambria" w:hAnsi="Cambria" w:cs="Cambria"/>
              </w:rPr>
            </w:pPr>
          </w:p>
        </w:tc>
      </w:tr>
    </w:tbl>
    <w:p w:rsidR="00DA65E7" w:rsidRDefault="00DA65E7">
      <w:pPr>
        <w:spacing w:after="200"/>
        <w:rPr>
          <w:rFonts w:ascii="Cambria" w:eastAsia="Cambria" w:hAnsi="Cambria" w:cs="Cambria"/>
        </w:rPr>
      </w:pPr>
    </w:p>
    <w:p w:rsidR="00DA65E7" w:rsidRDefault="004B10F3">
      <w:pPr>
        <w:spacing w:after="200"/>
        <w:jc w:val="both"/>
        <w:rPr>
          <w:rFonts w:ascii="Cambria" w:eastAsia="Cambria" w:hAnsi="Cambria" w:cs="Cambria"/>
        </w:rPr>
      </w:pPr>
      <w:r>
        <w:rPr>
          <w:rFonts w:ascii="Cambria" w:eastAsia="Cambria" w:hAnsi="Cambria" w:cs="Cambria"/>
        </w:rPr>
        <w:t>* Uveďte základní informace (max. 2000 znaků) k aktivitám Vašeho pracoviště (univerzity, fakulty, ústavu apod.) v dané oblasti. Realizaci daných aktivit bude třeba v dalším kroku prokázat prostřednictvím odkazů na veřejně dostupné dokumenty nebo doložené přílohy.</w:t>
      </w:r>
    </w:p>
    <w:p w:rsidR="00DA65E7" w:rsidRDefault="004B10F3">
      <w:pPr>
        <w:spacing w:after="200"/>
        <w:jc w:val="both"/>
        <w:rPr>
          <w:rFonts w:ascii="Cambria" w:eastAsia="Cambria" w:hAnsi="Cambria" w:cs="Cambria"/>
        </w:rPr>
      </w:pPr>
      <w:r>
        <w:rPr>
          <w:rFonts w:ascii="Cambria" w:eastAsia="Cambria" w:hAnsi="Cambria" w:cs="Cambria"/>
        </w:rPr>
        <w:t>** Poskytněte odkazy na veřejně dostupné dokumenty nebo na přílohy, které budou jasně prokazovat, že dané kritérium naplňujete. Může se jednat například o následující dokumenty: interní nařízení, pravidla a</w:t>
      </w:r>
      <w:r w:rsidR="00665E91">
        <w:rPr>
          <w:rFonts w:ascii="Cambria" w:eastAsia="Cambria" w:hAnsi="Cambria" w:cs="Cambria"/>
        </w:rPr>
        <w:t> </w:t>
      </w:r>
      <w:r>
        <w:rPr>
          <w:rFonts w:ascii="Cambria" w:eastAsia="Cambria" w:hAnsi="Cambria" w:cs="Cambria"/>
        </w:rPr>
        <w:t>směrnice, zveřejněné genderové statistiky, výroční zprávy, kodex zaměstnavatele, interní směrnice nebo jiné platné vnitřní směrnice a další dokumenty ukládající sběr a vyhodnocování statistiky lidských zdrojů,</w:t>
      </w:r>
      <w:r>
        <w:rPr>
          <w:rFonts w:ascii="Cambria" w:eastAsia="Cambria" w:hAnsi="Cambria" w:cs="Cambria"/>
          <w:color w:val="808080"/>
        </w:rPr>
        <w:t xml:space="preserve"> </w:t>
      </w:r>
      <w:r>
        <w:rPr>
          <w:rFonts w:ascii="Cambria" w:eastAsia="Cambria" w:hAnsi="Cambria" w:cs="Cambria"/>
        </w:rPr>
        <w:t xml:space="preserve">směrnice či další dokumenty řešící transparentní pravidla kariérního růstu, kariérní řád, etický kodex, kolektivní smlouva, výstupy případných personálních či jiných sociálních auditů, zřizovací listiny, odkazy na webové stránky, čestné prohlášení apod. </w:t>
      </w:r>
      <w:r>
        <w:rPr>
          <w:rFonts w:ascii="Cambria" w:eastAsia="Cambria" w:hAnsi="Cambria" w:cs="Cambria"/>
          <w:u w:val="single"/>
        </w:rPr>
        <w:t>V případě odkazu na rozsáhlejší dokument též specifikujte relevantní odstavec či ustanovení.</w:t>
      </w:r>
    </w:p>
    <w:sectPr w:rsidR="00DA65E7" w:rsidSect="00501376">
      <w:headerReference w:type="default" r:id="rId8"/>
      <w:footerReference w:type="default" r:id="rId9"/>
      <w:pgSz w:w="11906" w:h="16838"/>
      <w:pgMar w:top="2268" w:right="992" w:bottom="992" w:left="992"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57" w:rsidRDefault="00552457">
      <w:pPr>
        <w:spacing w:line="240" w:lineRule="auto"/>
      </w:pPr>
      <w:r>
        <w:separator/>
      </w:r>
    </w:p>
  </w:endnote>
  <w:endnote w:type="continuationSeparator" w:id="0">
    <w:p w:rsidR="00552457" w:rsidRDefault="00552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57" w:rsidRPr="00501376" w:rsidRDefault="00552457" w:rsidP="004B10F3">
    <w:pPr>
      <w:pBdr>
        <w:top w:val="nil"/>
        <w:left w:val="nil"/>
        <w:bottom w:val="nil"/>
        <w:right w:val="nil"/>
        <w:between w:val="nil"/>
      </w:pBdr>
      <w:tabs>
        <w:tab w:val="center" w:pos="4536"/>
        <w:tab w:val="right" w:pos="9072"/>
      </w:tabs>
      <w:spacing w:after="600" w:line="240" w:lineRule="auto"/>
      <w:jc w:val="right"/>
      <w:rPr>
        <w:color w:val="000000"/>
      </w:rPr>
    </w:pPr>
    <w:proofErr w:type="gramStart"/>
    <w:r>
      <w:rPr>
        <w:rFonts w:ascii="Cambria" w:eastAsia="Cambria" w:hAnsi="Cambria" w:cs="Cambria"/>
        <w:color w:val="000000"/>
      </w:rPr>
      <w:t xml:space="preserve">Stránka </w:t>
    </w:r>
    <w:proofErr w:type="gramEnd"/>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PAGE</w:instrText>
    </w:r>
    <w:r>
      <w:rPr>
        <w:rFonts w:ascii="Cambria" w:eastAsia="Cambria" w:hAnsi="Cambria" w:cs="Cambria"/>
        <w:b/>
        <w:color w:val="000000"/>
        <w:sz w:val="24"/>
        <w:szCs w:val="24"/>
      </w:rPr>
      <w:fldChar w:fldCharType="separate"/>
    </w:r>
    <w:r w:rsidR="008C44D1">
      <w:rPr>
        <w:rFonts w:ascii="Cambria" w:eastAsia="Cambria" w:hAnsi="Cambria" w:cs="Cambria"/>
        <w:b/>
        <w:noProof/>
        <w:color w:val="000000"/>
        <w:sz w:val="24"/>
        <w:szCs w:val="24"/>
      </w:rPr>
      <w:t>1</w:t>
    </w:r>
    <w:r>
      <w:rPr>
        <w:rFonts w:ascii="Cambria" w:eastAsia="Cambria" w:hAnsi="Cambria" w:cs="Cambria"/>
        <w:b/>
        <w:color w:val="000000"/>
        <w:sz w:val="24"/>
        <w:szCs w:val="24"/>
      </w:rPr>
      <w:fldChar w:fldCharType="end"/>
    </w:r>
    <w:proofErr w:type="gramStart"/>
    <w:r>
      <w:rPr>
        <w:rFonts w:ascii="Cambria" w:eastAsia="Cambria" w:hAnsi="Cambria" w:cs="Cambria"/>
        <w:color w:val="000000"/>
      </w:rPr>
      <w:t xml:space="preserve"> z </w:t>
    </w:r>
    <w:proofErr w:type="gramEnd"/>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NUMPAGES</w:instrText>
    </w:r>
    <w:r>
      <w:rPr>
        <w:rFonts w:ascii="Cambria" w:eastAsia="Cambria" w:hAnsi="Cambria" w:cs="Cambria"/>
        <w:b/>
        <w:color w:val="000000"/>
        <w:sz w:val="24"/>
        <w:szCs w:val="24"/>
      </w:rPr>
      <w:fldChar w:fldCharType="separate"/>
    </w:r>
    <w:r w:rsidR="008C44D1">
      <w:rPr>
        <w:rFonts w:ascii="Cambria" w:eastAsia="Cambria" w:hAnsi="Cambria" w:cs="Cambria"/>
        <w:b/>
        <w:noProof/>
        <w:color w:val="000000"/>
        <w:sz w:val="24"/>
        <w:szCs w:val="24"/>
      </w:rPr>
      <w:t>4</w:t>
    </w:r>
    <w:r>
      <w:rPr>
        <w:rFonts w:ascii="Cambria" w:eastAsia="Cambria" w:hAnsi="Cambria" w:cs="Cambria"/>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57" w:rsidRDefault="00552457">
      <w:pPr>
        <w:spacing w:line="240" w:lineRule="auto"/>
      </w:pPr>
      <w:r>
        <w:separator/>
      </w:r>
    </w:p>
  </w:footnote>
  <w:footnote w:type="continuationSeparator" w:id="0">
    <w:p w:rsidR="00552457" w:rsidRDefault="00552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C9" w:rsidRDefault="00552457" w:rsidP="008C44D1">
    <w:pPr>
      <w:tabs>
        <w:tab w:val="center" w:pos="4536"/>
        <w:tab w:val="right" w:pos="9072"/>
      </w:tabs>
      <w:spacing w:before="708" w:line="240" w:lineRule="auto"/>
    </w:pPr>
    <w:r>
      <w:rPr>
        <w:noProof/>
      </w:rPr>
      <w:drawing>
        <wp:anchor distT="0" distB="0" distL="114300" distR="114300" simplePos="0" relativeHeight="251658240" behindDoc="0" locked="0" layoutInCell="1" hidden="0" allowOverlap="1" wp14:anchorId="0A37C43F" wp14:editId="18705152">
          <wp:simplePos x="0" y="0"/>
          <wp:positionH relativeFrom="page">
            <wp:align>right</wp:align>
          </wp:positionH>
          <wp:positionV relativeFrom="paragraph">
            <wp:posOffset>7620</wp:posOffset>
          </wp:positionV>
          <wp:extent cx="2172335" cy="947420"/>
          <wp:effectExtent l="0" t="0" r="0" b="508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72335" cy="947420"/>
                  </a:xfrm>
                  <a:prstGeom prst="rect">
                    <a:avLst/>
                  </a:prstGeom>
                  <a:ln/>
                </pic:spPr>
              </pic:pic>
            </a:graphicData>
          </a:graphic>
        </wp:anchor>
      </w:drawing>
    </w:r>
    <w:r>
      <w:rPr>
        <w:noProof/>
      </w:rPr>
      <w:drawing>
        <wp:anchor distT="0" distB="0" distL="0" distR="0" simplePos="0" relativeHeight="251656192" behindDoc="0" locked="0" layoutInCell="1" hidden="0" allowOverlap="1" wp14:anchorId="27EC859E" wp14:editId="37CEB52C">
          <wp:simplePos x="0" y="0"/>
          <wp:positionH relativeFrom="margin">
            <wp:posOffset>-647699</wp:posOffset>
          </wp:positionH>
          <wp:positionV relativeFrom="paragraph">
            <wp:posOffset>0</wp:posOffset>
          </wp:positionV>
          <wp:extent cx="1437005" cy="1437005"/>
          <wp:effectExtent l="0" t="0" r="0" b="0"/>
          <wp:wrapSquare wrapText="bothSides" distT="0" distB="0" distL="0" distR="0"/>
          <wp:docPr id="3" name="image6.jpg" descr="Logo TACR_40x40_do rohu"/>
          <wp:cNvGraphicFramePr/>
          <a:graphic xmlns:a="http://schemas.openxmlformats.org/drawingml/2006/main">
            <a:graphicData uri="http://schemas.openxmlformats.org/drawingml/2006/picture">
              <pic:pic xmlns:pic="http://schemas.openxmlformats.org/drawingml/2006/picture">
                <pic:nvPicPr>
                  <pic:cNvPr id="0" name="image6.jpg" descr="Logo TACR_40x40_do rohu"/>
                  <pic:cNvPicPr preferRelativeResize="0"/>
                </pic:nvPicPr>
                <pic:blipFill>
                  <a:blip r:embed="rId2"/>
                  <a:srcRect/>
                  <a:stretch>
                    <a:fillRect/>
                  </a:stretch>
                </pic:blipFill>
                <pic:spPr>
                  <a:xfrm>
                    <a:off x="0" y="0"/>
                    <a:ext cx="1437005" cy="1437005"/>
                  </a:xfrm>
                  <a:prstGeom prst="rect">
                    <a:avLst/>
                  </a:prstGeom>
                  <a:ln/>
                </pic:spPr>
              </pic:pic>
            </a:graphicData>
          </a:graphic>
        </wp:anchor>
      </w:drawing>
    </w:r>
  </w:p>
  <w:p w:rsidR="00BE46C9" w:rsidRDefault="00BE46C9">
    <w:pPr>
      <w:tabs>
        <w:tab w:val="center" w:pos="4536"/>
        <w:tab w:val="right" w:pos="9072"/>
      </w:tabs>
      <w:spacing w:line="240" w:lineRule="auto"/>
    </w:pPr>
  </w:p>
  <w:p w:rsidR="00BE46C9" w:rsidRDefault="00BE46C9">
    <w:pPr>
      <w:tabs>
        <w:tab w:val="center" w:pos="4536"/>
        <w:tab w:val="right" w:pos="9072"/>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E7"/>
    <w:rsid w:val="00005CAD"/>
    <w:rsid w:val="000B18EC"/>
    <w:rsid w:val="00282E62"/>
    <w:rsid w:val="002C1532"/>
    <w:rsid w:val="003034C4"/>
    <w:rsid w:val="004822CE"/>
    <w:rsid w:val="004B10F3"/>
    <w:rsid w:val="00501376"/>
    <w:rsid w:val="00507590"/>
    <w:rsid w:val="00552457"/>
    <w:rsid w:val="00665E91"/>
    <w:rsid w:val="007A30EC"/>
    <w:rsid w:val="008C44D1"/>
    <w:rsid w:val="00A003A7"/>
    <w:rsid w:val="00A05A26"/>
    <w:rsid w:val="00BE46C9"/>
    <w:rsid w:val="00DA65E7"/>
    <w:rsid w:val="00F50B68"/>
    <w:rsid w:val="00F61DBB"/>
    <w:rsid w:val="00FE4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F060B"/>
  <w15:docId w15:val="{3AAAFA6A-9DE1-479A-95BE-BB5DFBC7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0137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376"/>
    <w:rPr>
      <w:rFonts w:ascii="Segoe UI" w:hAnsi="Segoe UI" w:cs="Segoe UI"/>
      <w:sz w:val="18"/>
      <w:szCs w:val="18"/>
    </w:rPr>
  </w:style>
  <w:style w:type="paragraph" w:styleId="Zhlav">
    <w:name w:val="header"/>
    <w:basedOn w:val="Normln"/>
    <w:link w:val="ZhlavChar"/>
    <w:uiPriority w:val="99"/>
    <w:unhideWhenUsed/>
    <w:rsid w:val="00501376"/>
    <w:pPr>
      <w:tabs>
        <w:tab w:val="center" w:pos="4536"/>
        <w:tab w:val="right" w:pos="9072"/>
      </w:tabs>
      <w:spacing w:line="240" w:lineRule="auto"/>
    </w:pPr>
  </w:style>
  <w:style w:type="character" w:customStyle="1" w:styleId="ZhlavChar">
    <w:name w:val="Záhlaví Char"/>
    <w:basedOn w:val="Standardnpsmoodstavce"/>
    <w:link w:val="Zhlav"/>
    <w:uiPriority w:val="99"/>
    <w:rsid w:val="00501376"/>
  </w:style>
  <w:style w:type="paragraph" w:styleId="Zpat">
    <w:name w:val="footer"/>
    <w:basedOn w:val="Normln"/>
    <w:link w:val="ZpatChar"/>
    <w:uiPriority w:val="99"/>
    <w:unhideWhenUsed/>
    <w:rsid w:val="00501376"/>
    <w:pPr>
      <w:tabs>
        <w:tab w:val="center" w:pos="4536"/>
        <w:tab w:val="right" w:pos="9072"/>
      </w:tabs>
      <w:spacing w:line="240" w:lineRule="auto"/>
    </w:pPr>
  </w:style>
  <w:style w:type="character" w:customStyle="1" w:styleId="ZpatChar">
    <w:name w:val="Zápatí Char"/>
    <w:basedOn w:val="Standardnpsmoodstavce"/>
    <w:link w:val="Zpat"/>
    <w:uiPriority w:val="99"/>
    <w:rsid w:val="0050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axess.ec.europa.eu/jobs/hrs4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A470-5331-4E32-B453-AFD853F3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5256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Sehnalová</dc:creator>
  <cp:lastModifiedBy>Linda Sehnalová</cp:lastModifiedBy>
  <cp:revision>3</cp:revision>
  <dcterms:created xsi:type="dcterms:W3CDTF">2018-09-11T11:27:00Z</dcterms:created>
  <dcterms:modified xsi:type="dcterms:W3CDTF">2018-09-11T11:28:00Z</dcterms:modified>
</cp:coreProperties>
</file>