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0" w:line="240" w:lineRule="auto"/>
        <w:ind w:right="480"/>
        <w:jc w:val="right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Číslo dodatku: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before="480" w:line="240" w:lineRule="auto"/>
        <w:ind w:right="48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Dodatek ke smlouvě o poskytnutí podpory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before="480" w:line="240" w:lineRule="auto"/>
        <w:ind w:right="48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řešení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projektu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(dále jen „Dodatek“)</w:t>
        <w:br w:type="textWrapping"/>
        <w:t xml:space="preserve">uzavřený mezi těmito smluvními stranami: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Česká republika – Technologická agentura České republiky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  <w:t xml:space="preserve">se sídlem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Evropská 1692/37, 160 00 Praha 6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  <w:t xml:space="preserve">IČO: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72050365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  <w:t xml:space="preserve">zastoupená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Petrem Konvalinkou, předsedou TA ČR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  <w:t xml:space="preserve">bankovní spojení: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Česká národní banka, Na Příkopě 28, Praha 1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  <w:t xml:space="preserve">číslo účtu pro poskytování dotací: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000-3125001/0710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  <w:t xml:space="preserve">jako poskytovatel podpory (dále jen „poskytovatel“) na straně jedné,</w:t>
        <w:br w:type="textWrapping"/>
        <w:br w:type="textWrapping"/>
        <w:t xml:space="preserve">a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se sídlem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zastoupená: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bankovní spojení: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číslo účtu: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jako hlavní příjemce podpory (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dále jen „příjemce“) na straně druhé.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285173" cy="983265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5173" cy="983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before="0" w:line="240" w:lineRule="auto"/>
        <w:ind w:firstLine="480"/>
        <w:jc w:val="both"/>
        <w:rPr>
          <w:rFonts w:ascii="Calibri" w:cs="Calibri" w:eastAsia="Calibri" w:hAnsi="Calibri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Obě smluvní strany se dohodly na doplnění a změnách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mlouvy o poskytnutí podpory na řešení proj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ektu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TN02xxx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včetně jejích příloh uzavřené mezi poskytovatelem a příjemcem dne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DD. MM. RRRR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 číslem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(dále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jen "Smlouva") následovně: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before="0" w:line="240" w:lineRule="auto"/>
        <w:ind w:firstLine="480"/>
        <w:jc w:val="both"/>
        <w:rPr/>
      </w:pPr>
      <w:bookmarkStart w:colFirst="0" w:colLast="0" w:name="_nuhj5vu9tpb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before="0" w:line="240" w:lineRule="auto"/>
        <w:ind w:firstLine="480"/>
        <w:jc w:val="both"/>
        <w:rPr/>
      </w:pPr>
      <w:bookmarkStart w:colFirst="0" w:colLast="0" w:name="_r2402kx8f8eu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480"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Článek I.</w:t>
        <w:br w:type="textWrapping"/>
      </w:r>
      <w:r w:rsidDel="00000000" w:rsidR="00000000" w:rsidRPr="00000000">
        <w:rPr>
          <w:b w:val="1"/>
          <w:rtl w:val="0"/>
        </w:rPr>
        <w:t xml:space="preserve">Změna smlouvy o poskytnutí podpory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(1) V článku 2 Výše poskytnuté podpory a uznaných nákladů se mění odstavec 1 takto: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Maximální výše podpory činí xx Kč (slovy: xx korun českých), což je xx % z maximální výše uznaných nákladů. Z toho maximální výše podpory z Národního plánu obnovy činí xx Kč (slovy: xx korun českých).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(2) V článku 2 Výše poskytnuté podpory a uznaných nákladů se mění odstavec 2 takto: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Maximální výše uznaných nákladů projektu je stanovena ve výši xx Kč (slovy: xx  korun českých).  Z toho maximální výše uznaných nákladů financovaných z Národního plánu obnovy je stanovena ve výši xx Kč (slovy: xx  korun českých). Finanční plán </w:t>
      </w:r>
      <w:r w:rsidDel="00000000" w:rsidR="00000000" w:rsidRPr="00000000">
        <w:rPr>
          <w:highlight w:val="yellow"/>
          <w:rtl w:val="0"/>
        </w:rPr>
        <w:t xml:space="preserve">dílčího projektu/dílčích projektů, který/é je/jsou financován/y z </w:t>
      </w:r>
      <w:r w:rsidDel="00000000" w:rsidR="00000000" w:rsidRPr="00000000">
        <w:rPr>
          <w:rtl w:val="0"/>
        </w:rPr>
        <w:t xml:space="preserve">Národní plán obnovy, je obsažen v následující tabulce: </w:t>
      </w:r>
    </w:p>
    <w:p w:rsidR="00000000" w:rsidDel="00000000" w:rsidP="00000000" w:rsidRDefault="00000000" w:rsidRPr="00000000" w14:paraId="0000000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78.149606299212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1700.7874015748032"/>
        <w:gridCol w:w="1700.7874015748032"/>
        <w:gridCol w:w="1700.7874015748032"/>
        <w:gridCol w:w="1700.7874015748032"/>
        <w:tblGridChange w:id="0">
          <w:tblGrid>
            <w:gridCol w:w="2475"/>
            <w:gridCol w:w="1700.7874015748032"/>
            <w:gridCol w:w="1700.7874015748032"/>
            <w:gridCol w:w="1700.7874015748032"/>
            <w:gridCol w:w="1700.787401574803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Položka/rok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Náklady projektu vztažené k NPO celkem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8.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Výše podpory z NPO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Výše ostatních zdrojů vztažených k NPO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Tento přehled zohledňuje pouze finanční položky vztažené k dílčím projektům, které naplňují podmínky Národního plánu obnovy („NPO”).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(3) Článek 4 Specifické podmínky se nad rámec Smlouvy doplňuje o odstavce  6 až 10, které zní: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“6.  Při prezentaci informací o řešeném dílčím projektu financovaném z Národního plánu obnovy, či o jeho výsledcích v hromadných sdělovacích prostředcích, či jiným způsobem, je příjemce povinen nad rámec postupu stanoveného čl. 4 odst. 2 písm. c) Všeobecných podmínek postupovat rovněž v souladu s podmínkami vizuální identity stanovenými v Metodickém pokynu pro publicitu a komunikaci pro Národní plán obnovy na období 2021-2026.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7. Daň z přidané hodnoty dle zákona č. 235/2004 Sb., o dani z přidané hodnoty, není pro dílčí projekty financované z Národního plánu obnovy uznaným nákladem dílčího projektu, a to ani pro neplátce DPH.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8. Nad rámec Všeobecných podmínek je příjemce povinen dodržovat během realizace dílčího projektu financovaného z Národního plánu obnovy zásadu "významně nepoškozovat" ve smyslu článku 17 Nařízení Evropského parlamentu a Rady (EU) 2020/852 ze dne 18. června 2020 o zřízení rámce pro usnadnění udržitelných investic a o změně nařízení (EU) 2019/2088, tzn. nesmí dojít k porušení ani jednoho z šesti environmentálních cílů a výsledky dílčího projektu budou na úrovni uplatňování technologicky neutrální.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9. Nad rámec Všeobecných podmínek je příjemce povinen učinit veškerá opatření, aby nevznikl střet zájmů ve smyslu článku 61 Nařízení Evropského parlamentu a Rady (EU) 2018/1046 ze dne 18. července 2018, a pokud taková situace nastane, je povinen tuto skutečnost neprodleně oznámit poskytovateli.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tl w:val="0"/>
        </w:rPr>
        <w:t xml:space="preserve">. Povinnost vést oddělenou účetní evidenci pro každý jednotlivý projekt uvedená v čl. 4 odst. 1 písm. e) Všeobecných podmínek se rozšiřuje o povinnost vést oddělenou účetní evidenci pro každý jednotlivý dílčí projekt financovaný z Národního plánu obnovy.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11. Nad rámec všeobecných podmínek je příjemce povinen v rámci průběžné či závěrečné zprávy předložit poskytovateli seznam všech dodavatelů a subdodavatelů, včetně jejich skutečných majitelů dle zákona č. 37/2021 Sb., o evidenci skutečných majitelů. “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(4) Smlouva se doplňuje o informaci, že dílčí projekty financované z Národního plánu obnovy projektu </w:t>
      </w:r>
      <w:r w:rsidDel="00000000" w:rsidR="00000000" w:rsidRPr="00000000">
        <w:rPr>
          <w:highlight w:val="yellow"/>
          <w:rtl w:val="0"/>
        </w:rPr>
        <w:t xml:space="preserve">TN02xxx</w:t>
      </w:r>
      <w:r w:rsidDel="00000000" w:rsidR="00000000" w:rsidRPr="00000000">
        <w:rPr>
          <w:rtl w:val="0"/>
        </w:rPr>
        <w:t xml:space="preserve"> jsou: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dílčí projekt s kódem </w:t>
      </w:r>
      <w:r w:rsidDel="00000000" w:rsidR="00000000" w:rsidRPr="00000000">
        <w:rPr>
          <w:highlight w:val="yellow"/>
          <w:rtl w:val="0"/>
        </w:rPr>
        <w:t xml:space="preserve">TN02xx/x,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before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dílčí projekt s kódem </w:t>
      </w:r>
      <w:r w:rsidDel="00000000" w:rsidR="00000000" w:rsidRPr="00000000">
        <w:rPr>
          <w:highlight w:val="yellow"/>
          <w:rtl w:val="0"/>
        </w:rPr>
        <w:t xml:space="preserve">TN02xx/x.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48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Článek II.</w:t>
        <w:br w:type="textWrapping"/>
        <w:t xml:space="preserve">Související dokumenty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8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  <w:t xml:space="preserve">(1) Nedílnou součástí Dodatku je příloha Závazné parametry řešení projektu, které jsou schváleným návrhem projektu ve smyslu § 9 odst. 2 zákona č. 130/2002 Sb., o podpoře výzkumu, experimentálního vývoje a inovací z veřejných prostředků, a obsahují označení hlavního příjemce a dalších účastníků, název a předmět řešení projektu, jméno, příjmení a případné akademické tituly a vědecké hodnosti řešitele, časový plán řešení projektu včetně termínu zahájení a ukončení řešení projektu, cíle projektu a deklarované výsledky projektu, a jejíž součástí je tabulka uznaných nákladů projektu.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480"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Článek III.</w:t>
        <w:br w:type="textWrapping"/>
        <w:t xml:space="preserve">Závěrečné ustanovení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8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(1) Dodatek nabývá platnosti dnem jeho podpisu a účinnosti zveřejněním v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egistru smluv.</w:t>
      </w:r>
    </w:p>
    <w:p w:rsidR="00000000" w:rsidDel="00000000" w:rsidP="00000000" w:rsidRDefault="00000000" w:rsidRPr="00000000" w14:paraId="00000032">
      <w:pPr>
        <w:spacing w:after="24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(2) Pokud dojde k nabytí účinnosti tohoto Dodatku ke dni pozdějšímu, než je den vydání oznámení o výsledku změnového řízení, bude na náklady spotřebované na řešení projektu mezi těmito dny pohlíženo, jako by se jednalo o náklady spotřebované po nabytí účinnosti tohoto Dodatku.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8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(3) Doba platnosti Dodatku je určena </w:t>
      </w:r>
      <w:r w:rsidDel="00000000" w:rsidR="00000000" w:rsidRPr="00000000">
        <w:rPr>
          <w:rtl w:val="0"/>
        </w:rPr>
        <w:t xml:space="preserve">dobou platnosti Smlouvy.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(4) Dodatek se vyhotovuje ve 2 stejnopisech, z nichž poskytovatel a příjemce obdrží po jednom stejnopisu. Každý stejnopis má platnost originálu.</w:t>
      </w:r>
    </w:p>
    <w:p w:rsidR="00000000" w:rsidDel="00000000" w:rsidP="00000000" w:rsidRDefault="00000000" w:rsidRPr="00000000" w14:paraId="00000035">
      <w:pPr>
        <w:spacing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(5) Smluvní strany souhlasí se zveřejněním plného znění tohoto dodatku a smlouvy ve smyslu zákona č. 340/2015 Sb., o zvláštních podmínkách účinnosti některých smluv, uveřejňování těchto smluv a o registru smluv (zákon o registru smluv). Zveřejnění ve smyslu tohoto zákona provede poskytovatel.</w:t>
        <w:br w:type="textWrapping"/>
        <w:br w:type="textWrapping"/>
        <w:t xml:space="preserve">(6) Smluvní strany prohlašují, že si Dodatek přečetly, s jeho obsahem souhlasí a že byl sepsán na základě jejich pravé a svobodné vůle, prosté omylu, a na důkaz toho připojují své podpisy.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480"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Podpisy smluvních stran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480"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 poskytovatele:</w:t>
      </w:r>
    </w:p>
    <w:tbl>
      <w:tblPr>
        <w:tblStyle w:val="Table2"/>
        <w:tblW w:w="9638.0" w:type="dxa"/>
        <w:jc w:val="left"/>
        <w:tblLayout w:type="fixed"/>
        <w:tblLook w:val="0400"/>
      </w:tblPr>
      <w:tblGrid>
        <w:gridCol w:w="2891"/>
        <w:gridCol w:w="1928"/>
        <w:gridCol w:w="4819"/>
        <w:tblGridChange w:id="0">
          <w:tblGrid>
            <w:gridCol w:w="2891"/>
            <w:gridCol w:w="1928"/>
            <w:gridCol w:w="4819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Mar>
              <w:top w:w="48.0" w:type="dxa"/>
              <w:left w:w="72.0" w:type="dxa"/>
              <w:bottom w:w="48.0" w:type="dxa"/>
              <w:right w:w="72.0" w:type="dxa"/>
            </w:tcMar>
          </w:tcPr>
          <w:p w:rsidR="00000000" w:rsidDel="00000000" w:rsidP="00000000" w:rsidRDefault="00000000" w:rsidRPr="00000000" w14:paraId="00000038">
            <w:pPr>
              <w:spacing w:after="1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 Praze</w:t>
            </w:r>
          </w:p>
        </w:tc>
        <w:tc>
          <w:tcPr>
            <w:tcMar>
              <w:top w:w="48.0" w:type="dxa"/>
              <w:left w:w="72.0" w:type="dxa"/>
              <w:bottom w:w="48.0" w:type="dxa"/>
              <w:right w:w="72.0" w:type="dxa"/>
            </w:tcMar>
          </w:tcPr>
          <w:p w:rsidR="00000000" w:rsidDel="00000000" w:rsidP="00000000" w:rsidRDefault="00000000" w:rsidRPr="00000000" w14:paraId="00000039">
            <w:pPr>
              <w:spacing w:after="1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dne</w:t>
            </w:r>
          </w:p>
        </w:tc>
        <w:tc>
          <w:tcPr>
            <w:tcMar>
              <w:top w:w="48.0" w:type="dxa"/>
              <w:left w:w="72.0" w:type="dxa"/>
              <w:bottom w:w="48.0" w:type="dxa"/>
              <w:right w:w="72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8.0" w:type="dxa"/>
              <w:left w:w="72.0" w:type="dxa"/>
              <w:bottom w:w="48.0" w:type="dxa"/>
              <w:right w:w="72.0" w:type="dxa"/>
            </w:tcMar>
          </w:tcPr>
          <w:p w:rsidR="00000000" w:rsidDel="00000000" w:rsidP="00000000" w:rsidRDefault="00000000" w:rsidRPr="00000000" w14:paraId="0000003B">
            <w:pPr>
              <w:spacing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8.0" w:type="dxa"/>
              <w:left w:w="72.0" w:type="dxa"/>
              <w:bottom w:w="48.0" w:type="dxa"/>
              <w:right w:w="72.0" w:type="dxa"/>
            </w:tcMar>
          </w:tcPr>
          <w:p w:rsidR="00000000" w:rsidDel="00000000" w:rsidP="00000000" w:rsidRDefault="00000000" w:rsidRPr="00000000" w14:paraId="0000003C">
            <w:pPr>
              <w:spacing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30j0zll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8.0" w:type="dxa"/>
              <w:left w:w="72.0" w:type="dxa"/>
              <w:bottom w:w="48.0" w:type="dxa"/>
              <w:right w:w="72.0" w:type="dxa"/>
            </w:tcMar>
          </w:tcPr>
          <w:p w:rsidR="00000000" w:rsidDel="00000000" w:rsidP="00000000" w:rsidRDefault="00000000" w:rsidRPr="00000000" w14:paraId="0000003D">
            <w:pPr>
              <w:spacing w:after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Petr Konvalinka</w:t>
              <w:br w:type="textWrapping"/>
              <w:t xml:space="preserve">Předseda TA ČR</w:t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48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48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480"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 příjemce:</w:t>
      </w:r>
    </w:p>
    <w:tbl>
      <w:tblPr>
        <w:tblStyle w:val="Table3"/>
        <w:tblW w:w="9638.0" w:type="dxa"/>
        <w:jc w:val="left"/>
        <w:tblLayout w:type="fixed"/>
        <w:tblLook w:val="0400"/>
      </w:tblPr>
      <w:tblGrid>
        <w:gridCol w:w="2891"/>
        <w:gridCol w:w="1928"/>
        <w:gridCol w:w="4819"/>
        <w:tblGridChange w:id="0">
          <w:tblGrid>
            <w:gridCol w:w="2891"/>
            <w:gridCol w:w="1928"/>
            <w:gridCol w:w="4819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Mar>
              <w:top w:w="48.0" w:type="dxa"/>
              <w:left w:w="72.0" w:type="dxa"/>
              <w:bottom w:w="48.0" w:type="dxa"/>
              <w:right w:w="72.0" w:type="dxa"/>
            </w:tcMar>
          </w:tcPr>
          <w:p w:rsidR="00000000" w:rsidDel="00000000" w:rsidP="00000000" w:rsidRDefault="00000000" w:rsidRPr="00000000" w14:paraId="00000041">
            <w:pPr>
              <w:spacing w:after="1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</w:t>
            </w:r>
          </w:p>
        </w:tc>
        <w:tc>
          <w:tcPr>
            <w:tcMar>
              <w:top w:w="48.0" w:type="dxa"/>
              <w:left w:w="72.0" w:type="dxa"/>
              <w:bottom w:w="48.0" w:type="dxa"/>
              <w:right w:w="72.0" w:type="dxa"/>
            </w:tcMar>
          </w:tcPr>
          <w:p w:rsidR="00000000" w:rsidDel="00000000" w:rsidP="00000000" w:rsidRDefault="00000000" w:rsidRPr="00000000" w14:paraId="00000042">
            <w:pPr>
              <w:spacing w:after="1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dne</w:t>
            </w:r>
          </w:p>
        </w:tc>
        <w:tc>
          <w:tcPr>
            <w:tcMar>
              <w:top w:w="48.0" w:type="dxa"/>
              <w:left w:w="72.0" w:type="dxa"/>
              <w:bottom w:w="48.0" w:type="dxa"/>
              <w:right w:w="72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8.0" w:type="dxa"/>
              <w:left w:w="72.0" w:type="dxa"/>
              <w:bottom w:w="48.0" w:type="dxa"/>
              <w:right w:w="72.0" w:type="dxa"/>
            </w:tcMar>
          </w:tcPr>
          <w:p w:rsidR="00000000" w:rsidDel="00000000" w:rsidP="00000000" w:rsidRDefault="00000000" w:rsidRPr="00000000" w14:paraId="00000044">
            <w:pPr>
              <w:spacing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8.0" w:type="dxa"/>
              <w:left w:w="72.0" w:type="dxa"/>
              <w:bottom w:w="48.0" w:type="dxa"/>
              <w:right w:w="72.0" w:type="dxa"/>
            </w:tcMar>
          </w:tcPr>
          <w:p w:rsidR="00000000" w:rsidDel="00000000" w:rsidP="00000000" w:rsidRDefault="00000000" w:rsidRPr="00000000" w14:paraId="00000045">
            <w:pPr>
              <w:spacing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8.0" w:type="dxa"/>
              <w:left w:w="72.0" w:type="dxa"/>
              <w:bottom w:w="48.0" w:type="dxa"/>
              <w:right w:w="72.0" w:type="dxa"/>
            </w:tcMar>
          </w:tcPr>
          <w:p w:rsidR="00000000" w:rsidDel="00000000" w:rsidP="00000000" w:rsidRDefault="00000000" w:rsidRPr="00000000" w14:paraId="00000046">
            <w:pPr>
              <w:spacing w:after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[NUTNO DOPLNIT]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before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134" w:right="1134" w:header="2552" w:footer="6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21"/>
        <w:tab w:val="right" w:leader="none" w:pos="9636"/>
      </w:tabs>
      <w:spacing w:before="0" w:line="240" w:lineRule="auto"/>
      <w:rPr>
        <w:rFonts w:ascii="Calibri" w:cs="Calibri" w:eastAsia="Calibri" w:hAnsi="Calibri"/>
        <w:color w:val="000000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F-312, verze 3</w:t>
    </w:r>
    <w:r w:rsidDel="00000000" w:rsidR="00000000" w:rsidRPr="00000000">
      <w:rPr>
        <w:rFonts w:ascii="Calibri" w:cs="Calibri" w:eastAsia="Calibri" w:hAnsi="Calibri"/>
        <w:color w:val="ff0000"/>
        <w:sz w:val="16"/>
        <w:szCs w:val="16"/>
        <w:rtl w:val="0"/>
      </w:rPr>
      <w:tab/>
    </w: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Strana </w:t>
    </w:r>
    <w:r w:rsidDel="00000000" w:rsidR="00000000" w:rsidRPr="00000000">
      <w:rPr>
        <w:rFonts w:ascii="Calibri" w:cs="Calibri" w:eastAsia="Calibri" w:hAnsi="Calibri"/>
        <w:b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b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ab/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Veřejný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20"/>
        <w:tab w:val="right" w:leader="none" w:pos="9638"/>
      </w:tabs>
      <w:spacing w:before="0" w:line="240" w:lineRule="auto"/>
      <w:jc w:val="center"/>
      <w:rPr>
        <w:rFonts w:ascii="Calibri" w:cs="Calibri" w:eastAsia="Calibri" w:hAnsi="Calibri"/>
        <w:color w:val="000000"/>
        <w:sz w:val="16"/>
        <w:szCs w:val="16"/>
      </w:rPr>
    </w:pPr>
    <w:bookmarkStart w:colFirst="0" w:colLast="0" w:name="_1fob9te" w:id="4"/>
    <w:bookmarkEnd w:id="4"/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F-312,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verze 4</w:t>
    </w: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ab/>
      <w:t xml:space="preserve">Strana </w:t>
    </w:r>
    <w:r w:rsidDel="00000000" w:rsidR="00000000" w:rsidRPr="00000000">
      <w:rPr>
        <w:rFonts w:ascii="Calibri" w:cs="Calibri" w:eastAsia="Calibri" w:hAnsi="Calibri"/>
        <w:b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b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ab/>
      <w:t xml:space="preserve">Veřejný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-733417</wp:posOffset>
          </wp:positionH>
          <wp:positionV relativeFrom="paragraph">
            <wp:posOffset>-1619242</wp:posOffset>
          </wp:positionV>
          <wp:extent cx="1440180" cy="1440180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180" cy="14401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-733417</wp:posOffset>
          </wp:positionH>
          <wp:positionV relativeFrom="paragraph">
            <wp:posOffset>-1619242</wp:posOffset>
          </wp:positionV>
          <wp:extent cx="1440180" cy="144018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180" cy="14401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