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7" w:rsidRDefault="00850E8F">
      <w:pPr>
        <w:tabs>
          <w:tab w:val="left" w:pos="3823"/>
          <w:tab w:val="right" w:pos="9638"/>
        </w:tabs>
        <w:spacing w:before="200"/>
        <w:jc w:val="right"/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637CE7" w:rsidRDefault="00850E8F">
      <w:pPr>
        <w:spacing w:line="288" w:lineRule="auto"/>
        <w:jc w:val="right"/>
      </w:pPr>
      <w:bookmarkStart w:id="1" w:name="_30j0zll" w:colFirst="0" w:colLast="0"/>
      <w:bookmarkEnd w:id="1"/>
      <w:proofErr w:type="gramStart"/>
      <w:r>
        <w:rPr>
          <w:rFonts w:ascii="Cambria" w:eastAsia="Cambria" w:hAnsi="Cambria" w:cs="Cambria"/>
        </w:rPr>
        <w:t>Č.j.</w:t>
      </w:r>
      <w:proofErr w:type="gram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</w:t>
      </w:r>
      <w:r w:rsidR="00BA5687">
        <w:rPr>
          <w:rFonts w:ascii="Cambria" w:eastAsia="Cambria" w:hAnsi="Cambria" w:cs="Cambria"/>
        </w:rPr>
        <w:t>1-35</w:t>
      </w:r>
      <w:r>
        <w:rPr>
          <w:rFonts w:ascii="Cambria" w:eastAsia="Cambria" w:hAnsi="Cambria" w:cs="Cambria"/>
        </w:rPr>
        <w:t>/2018</w:t>
      </w:r>
    </w:p>
    <w:p w:rsidR="00637CE7" w:rsidRDefault="00E5797B">
      <w:pPr>
        <w:spacing w:before="240" w:line="360" w:lineRule="auto"/>
        <w:jc w:val="center"/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>pro 2</w:t>
      </w:r>
      <w:r w:rsidR="00850E8F">
        <w:rPr>
          <w:rFonts w:ascii="Cambria" w:eastAsia="Cambria" w:hAnsi="Cambria" w:cs="Cambria"/>
          <w:b/>
          <w:sz w:val="24"/>
          <w:szCs w:val="24"/>
        </w:rPr>
        <w:t xml:space="preserve">. veřejnou soutěž programu na podporu aplikovaného </w:t>
      </w:r>
      <w:r>
        <w:rPr>
          <w:rFonts w:ascii="Cambria" w:eastAsia="Cambria" w:hAnsi="Cambria" w:cs="Cambria"/>
          <w:b/>
          <w:sz w:val="24"/>
          <w:szCs w:val="24"/>
        </w:rPr>
        <w:t xml:space="preserve">společenskovědního a humanitního </w:t>
      </w:r>
      <w:r w:rsidR="00850E8F">
        <w:rPr>
          <w:rFonts w:ascii="Cambria" w:eastAsia="Cambria" w:hAnsi="Cambria" w:cs="Cambria"/>
          <w:b/>
          <w:sz w:val="24"/>
          <w:szCs w:val="24"/>
        </w:rPr>
        <w:t>výzkumu</w:t>
      </w:r>
      <w:r>
        <w:rPr>
          <w:rFonts w:ascii="Cambria" w:eastAsia="Cambria" w:hAnsi="Cambria" w:cs="Cambria"/>
          <w:b/>
          <w:sz w:val="24"/>
          <w:szCs w:val="24"/>
        </w:rPr>
        <w:t>,</w:t>
      </w:r>
      <w:r w:rsidR="00850E8F">
        <w:rPr>
          <w:rFonts w:ascii="Cambria" w:eastAsia="Cambria" w:hAnsi="Cambria" w:cs="Cambria"/>
          <w:b/>
          <w:sz w:val="24"/>
          <w:szCs w:val="24"/>
        </w:rPr>
        <w:t xml:space="preserve"> experimentálního vývoje </w:t>
      </w:r>
      <w:r>
        <w:rPr>
          <w:rFonts w:ascii="Cambria" w:eastAsia="Cambria" w:hAnsi="Cambria" w:cs="Cambria"/>
          <w:b/>
          <w:sz w:val="24"/>
          <w:szCs w:val="24"/>
        </w:rPr>
        <w:t>a inovací ÉTA/</w:t>
      </w:r>
      <w:r w:rsidR="00850E8F"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2nd</w:t>
      </w:r>
      <w:r w:rsidRPr="006C79EC">
        <w:rPr>
          <w:rFonts w:ascii="Cambria" w:eastAsia="Cambria" w:hAnsi="Cambria" w:cs="Cambria"/>
          <w:b/>
          <w:sz w:val="24"/>
          <w:szCs w:val="24"/>
        </w:rPr>
        <w:t xml:space="preserve"> public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to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researc</w:t>
      </w:r>
      <w:r>
        <w:rPr>
          <w:rFonts w:ascii="Cambria" w:eastAsia="Cambria" w:hAnsi="Cambria" w:cs="Cambria"/>
          <w:b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 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innovation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social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sciences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 w:rsidRPr="006C79EC">
        <w:rPr>
          <w:rFonts w:ascii="Cambria" w:eastAsia="Cambria" w:hAnsi="Cambria" w:cs="Cambria"/>
          <w:b/>
          <w:sz w:val="24"/>
          <w:szCs w:val="24"/>
        </w:rPr>
        <w:t>humanities</w:t>
      </w:r>
      <w:proofErr w:type="spellEnd"/>
      <w:r w:rsidRPr="006C79EC">
        <w:rPr>
          <w:rFonts w:ascii="Cambria" w:eastAsia="Cambria" w:hAnsi="Cambria" w:cs="Cambria"/>
          <w:b/>
          <w:sz w:val="24"/>
          <w:szCs w:val="24"/>
        </w:rPr>
        <w:t xml:space="preserve"> ETA</w:t>
      </w:r>
    </w:p>
    <w:p w:rsidR="00637CE7" w:rsidRDefault="00850E8F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  <w:jc w:val="both"/>
      </w:pPr>
    </w:p>
    <w:p w:rsidR="00637CE7" w:rsidRDefault="00850E8F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637CE7" w:rsidRDefault="00850E8F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2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80"/>
        <w:gridCol w:w="4740"/>
      </w:tblGrid>
      <w:tr w:rsidR="00637CE7">
        <w:trPr>
          <w:trHeight w:val="22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organizace, případně je územním samosprávným celkem či právnickou osobou tvořenou územními samosprávnými celky.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 w:rsidP="00630786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</w:t>
            </w:r>
            <w:r w:rsidR="00630786"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 w:rsidR="0063078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</w:t>
            </w:r>
            <w:r w:rsidR="00630786"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legal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formed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 w:rsidR="00630786"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entities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>.</w:t>
            </w:r>
          </w:p>
        </w:tc>
      </w:tr>
      <w:tr w:rsidR="00637CE7">
        <w:trPr>
          <w:trHeight w:val="358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0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</w:t>
            </w:r>
            <w:bookmarkStart w:id="3" w:name="_GoBack"/>
            <w:bookmarkEnd w:id="3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637CE7">
        <w:trPr>
          <w:trHeight w:val="60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8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pravomocně odsouzen/a pro trestný čin, je</w:t>
            </w:r>
            <w:r w:rsidR="00E5797B">
              <w:rPr>
                <w:rFonts w:ascii="Cambria" w:eastAsia="Cambria" w:hAnsi="Cambria" w:cs="Cambria"/>
              </w:rPr>
              <w:t>hož skutková podstata souvisí s </w:t>
            </w:r>
            <w:r>
              <w:rPr>
                <w:rFonts w:ascii="Cambria" w:eastAsia="Cambria" w:hAnsi="Cambria" w:cs="Cambria"/>
              </w:rPr>
              <w:t xml:space="preserve">předmětem podnikání uchazeče, nebo pro trestný čin hospodářský 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lastRenderedPageBreak/>
              <w:t>a</w:t>
            </w:r>
            <w:r w:rsidR="00E5797B">
              <w:rPr>
                <w:rFonts w:ascii="Cambria" w:eastAsia="Cambria" w:hAnsi="Cambria" w:cs="Cambria"/>
              </w:rPr>
              <w:t> </w:t>
            </w:r>
            <w:r>
              <w:rPr>
                <w:rFonts w:ascii="Cambria" w:eastAsia="Cambria" w:hAnsi="Cambria" w:cs="Cambria"/>
              </w:rPr>
              <w:t xml:space="preserve">je-li právnickou osobou, nebyl/a pravomocně odsouzen/a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9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v posledních třech letech disciplinárně potrestán/a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2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 w:rsidP="003456FC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>i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jeho statutárního orgánu a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statutárních orgánů těch jeho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orgánu, kteří/</w:t>
            </w:r>
            <w:proofErr w:type="spellStart"/>
            <w:r>
              <w:rPr>
                <w:rFonts w:ascii="Cambria" w:eastAsia="Cambria" w:hAnsi="Cambria" w:cs="Cambria"/>
              </w:rPr>
              <w:t>ré</w:t>
            </w:r>
            <w:proofErr w:type="spellEnd"/>
            <w:r>
              <w:rPr>
                <w:rFonts w:ascii="Cambria" w:eastAsia="Cambria" w:hAnsi="Cambria" w:cs="Cambria"/>
              </w:rPr>
              <w:t xml:space="preserve"> jsou právnickou osobou, a</w:t>
            </w:r>
            <w:r w:rsidR="003456FC">
              <w:rPr>
                <w:rFonts w:ascii="Cambria" w:eastAsia="Cambria" w:hAnsi="Cambria" w:cs="Cambria"/>
              </w:rPr>
              <w:t> </w:t>
            </w:r>
            <w:r>
              <w:rPr>
                <w:rFonts w:ascii="Cambria" w:eastAsia="Cambria" w:hAnsi="Cambria" w:cs="Cambria"/>
              </w:rPr>
              <w:t>to ke dni prokázání způsobilosti.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917138" w:rsidRDefault="00917138" w:rsidP="00917138">
            <w:pPr>
              <w:spacing w:after="0"/>
              <w:ind w:left="720"/>
              <w:contextualSpacing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není subjektem, kterému je zakázáno poskytnout podporu ve smyslu § 4c zákona č. 159/2006 Sb., o střetu zájmů.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spacing w:after="0" w:line="240" w:lineRule="auto"/>
              <w:ind w:left="710" w:hanging="27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tenderer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he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prohibited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§ 4c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No. 159/2006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., On </w:t>
            </w:r>
            <w:proofErr w:type="spellStart"/>
            <w:r>
              <w:rPr>
                <w:rFonts w:ascii="Cambria" w:eastAsia="Cambria" w:hAnsi="Cambria" w:cs="Cambria"/>
              </w:rPr>
              <w:t>Conflicts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Interest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637CE7" w:rsidRDefault="00637CE7">
      <w:pPr>
        <w:tabs>
          <w:tab w:val="left" w:pos="5308"/>
        </w:tabs>
      </w:pPr>
    </w:p>
    <w:sectPr w:rsidR="00637C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5E" w:rsidRDefault="00EB495E">
      <w:pPr>
        <w:spacing w:after="0" w:line="240" w:lineRule="auto"/>
      </w:pPr>
      <w:r>
        <w:separator/>
      </w:r>
    </w:p>
  </w:endnote>
  <w:endnote w:type="continuationSeparator" w:id="0">
    <w:p w:rsidR="00EB495E" w:rsidRDefault="00EB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850E8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3456FC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NUMPAGES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3456FC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</w:p>
  <w:p w:rsidR="00637CE7" w:rsidRDefault="00E5797B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212E7C4" wp14:editId="1A520DDE">
          <wp:simplePos x="0" y="0"/>
          <wp:positionH relativeFrom="margin">
            <wp:posOffset>-719455</wp:posOffset>
          </wp:positionH>
          <wp:positionV relativeFrom="paragraph">
            <wp:posOffset>152400</wp:posOffset>
          </wp:positionV>
          <wp:extent cx="3596005" cy="831215"/>
          <wp:effectExtent l="0" t="0" r="4445" b="698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7CE7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5E" w:rsidRDefault="00EB495E">
      <w:pPr>
        <w:spacing w:after="0" w:line="240" w:lineRule="auto"/>
      </w:pPr>
      <w:r>
        <w:separator/>
      </w:r>
    </w:p>
  </w:footnote>
  <w:footnote w:type="continuationSeparator" w:id="0">
    <w:p w:rsidR="00EB495E" w:rsidRDefault="00EB495E">
      <w:pPr>
        <w:spacing w:after="0" w:line="240" w:lineRule="auto"/>
      </w:pPr>
      <w:r>
        <w:continuationSeparator/>
      </w:r>
    </w:p>
  </w:footnote>
  <w:footnote w:id="1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rejstříku. 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0786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4533D08" wp14:editId="28592424">
          <wp:simplePos x="0" y="0"/>
          <wp:positionH relativeFrom="margin">
            <wp:posOffset>-719455</wp:posOffset>
          </wp:positionH>
          <wp:positionV relativeFrom="paragraph">
            <wp:posOffset>-228600</wp:posOffset>
          </wp:positionV>
          <wp:extent cx="1439545" cy="1439545"/>
          <wp:effectExtent l="0" t="0" r="8255" b="8255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797B">
      <w:rPr>
        <w:noProof/>
      </w:rPr>
      <w:drawing>
        <wp:anchor distT="0" distB="0" distL="0" distR="0" simplePos="0" relativeHeight="251663360" behindDoc="0" locked="0" layoutInCell="1" hidden="0" allowOverlap="1" wp14:anchorId="01D7492B" wp14:editId="3B1EB6AF">
          <wp:simplePos x="0" y="0"/>
          <wp:positionH relativeFrom="margin">
            <wp:posOffset>4675505</wp:posOffset>
          </wp:positionH>
          <wp:positionV relativeFrom="paragraph">
            <wp:posOffset>-234315</wp:posOffset>
          </wp:positionV>
          <wp:extent cx="2172335" cy="993775"/>
          <wp:effectExtent l="0" t="0" r="0" b="0"/>
          <wp:wrapSquare wrapText="bothSides" distT="0" distB="0" distL="0" distR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7" w:rsidRDefault="00637CE7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54"/>
    <w:multiLevelType w:val="multilevel"/>
    <w:tmpl w:val="EC6EBB7A"/>
    <w:lvl w:ilvl="0">
      <w:start w:val="3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14251623"/>
    <w:multiLevelType w:val="multilevel"/>
    <w:tmpl w:val="F8A44538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152B428C"/>
    <w:multiLevelType w:val="multilevel"/>
    <w:tmpl w:val="6C3E0D2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1D90449E"/>
    <w:multiLevelType w:val="multilevel"/>
    <w:tmpl w:val="3C4C8458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20ED5A59"/>
    <w:multiLevelType w:val="multilevel"/>
    <w:tmpl w:val="C874B0A0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3CE25943"/>
    <w:multiLevelType w:val="multilevel"/>
    <w:tmpl w:val="60FAB3AA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44D025BD"/>
    <w:multiLevelType w:val="multilevel"/>
    <w:tmpl w:val="1EB2070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4C0B0733"/>
    <w:multiLevelType w:val="multilevel"/>
    <w:tmpl w:val="A80A251C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53F41094"/>
    <w:multiLevelType w:val="multilevel"/>
    <w:tmpl w:val="60A8A1F6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9">
    <w:nsid w:val="55A8521C"/>
    <w:multiLevelType w:val="multilevel"/>
    <w:tmpl w:val="634E3730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58A62DC6"/>
    <w:multiLevelType w:val="multilevel"/>
    <w:tmpl w:val="5C7C80E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9430220"/>
    <w:multiLevelType w:val="multilevel"/>
    <w:tmpl w:val="4EE897DC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74AC4B0F"/>
    <w:multiLevelType w:val="multilevel"/>
    <w:tmpl w:val="6C52F062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78E70CF0"/>
    <w:multiLevelType w:val="multilevel"/>
    <w:tmpl w:val="FA62148C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7B3A33E0"/>
    <w:multiLevelType w:val="multilevel"/>
    <w:tmpl w:val="BFE41090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B5B379D"/>
    <w:multiLevelType w:val="multilevel"/>
    <w:tmpl w:val="5D062BE4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CE7"/>
    <w:rsid w:val="003456FC"/>
    <w:rsid w:val="004524B9"/>
    <w:rsid w:val="00630786"/>
    <w:rsid w:val="00637CE7"/>
    <w:rsid w:val="00850E8F"/>
    <w:rsid w:val="00876735"/>
    <w:rsid w:val="00917138"/>
    <w:rsid w:val="00BA5687"/>
    <w:rsid w:val="00E5797B"/>
    <w:rsid w:val="00E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Veselská</dc:creator>
  <cp:lastModifiedBy>Linda Sehnalová</cp:lastModifiedBy>
  <cp:revision>4</cp:revision>
  <dcterms:created xsi:type="dcterms:W3CDTF">2018-04-12T11:52:00Z</dcterms:created>
  <dcterms:modified xsi:type="dcterms:W3CDTF">2018-04-13T07:19:00Z</dcterms:modified>
</cp:coreProperties>
</file>